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Verdana" w:hAnsi="Verdana"/>
          <w:b w:val="0"/>
          <w:color w:val="416180"/>
          <w:sz w:val="15"/>
          <w:u w:val="none"/>
        </w:rPr>
        <w:t>YOUR SECURITY CLEARANCE</w:t>
      </w:r>
    </w:p>
    <w:p>
      <w:pPr>
        <w:spacing w:after="40"/>
      </w:pPr>
      <w:r>
        <w:rPr>
          <w:rFonts w:ascii="Verdana" w:hAnsi="Verdana"/>
          <w:b/>
          <w:color w:val="1D1F20"/>
          <w:sz w:val="32"/>
          <w:u w:val="none"/>
        </w:rPr>
        <w:t>Quick Reference</w:t>
      </w:r>
    </w:p>
    <w:p>
      <w:pPr>
        <w:spacing w:after="80"/>
        <w:jc w:val="right"/>
      </w:pPr>
      <w:r>
        <w:rPr>
          <w:rFonts w:ascii="Verdana" w:hAnsi="Verdana"/>
          <w:b w:val="0"/>
          <w:color w:val="5D5D60"/>
          <w:sz w:val="14"/>
          <w:u w:val="none"/>
        </w:rPr>
        <w:t>What matters, and what you must report. Report everything below to your FSO.</w:t>
      </w:r>
    </w:p>
    <w:p>
      <w:pPr>
        <w:spacing w:after="60"/>
        <w:pBdr>
          <w:bottom w:val="single" w:sz="18" w:space="1" w:color="1D1F20"/>
        </w:pBdr>
      </w:pPr>
    </w:p>
    <w:tbl>
      <w:tblPr>
        <w:tblW w:type="auto" w:w="0"/>
        <w:jc w:val="left"/>
        <w:tblLook w:firstColumn="1" w:firstRow="1" w:lastColumn="0" w:lastRow="0" w:noHBand="0" w:noVBand="1" w:val="04A0"/>
      </w:tblPr>
      <w:tblGrid>
        <w:gridCol w:w="3840"/>
        <w:gridCol w:w="3840"/>
        <w:gridCol w:w="3840"/>
      </w:tblGrid>
      <w:tr>
        <w:tc>
          <w:tcPr>
            <w:tcW w:type="dxa" w:w="2448"/>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5D5D60"/>
                <w:sz w:val="15"/>
                <w:u w:val="none"/>
              </w:rPr>
              <w:t>FACILITY SECURITY OFFICER</w:t>
            </w:r>
          </w:p>
        </w:tc>
        <w:tc>
          <w:tcPr>
            <w:tcW w:type="dxa" w:w="3744"/>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Name</w:t>
            </w:r>
          </w:p>
          <w:p>
            <w:pPr>
              <w:spacing w:before="80" w:after="80" w:lineRule="atLeast" w:line="560"/>
            </w:pPr>
            <w:sdt>
              <w:sdtPr>
                <w:alias w:val="clearance_holder_facility_security_officer_name"/>
                <w:tag w:val="clearance_holder_facility_security_officer_name"/>
                <w:id w:val="100001"/>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c>
          <w:tcPr>
            <w:tcW w:type="dxa" w:w="4392"/>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Email</w:t>
            </w:r>
          </w:p>
          <w:p>
            <w:pPr>
              <w:spacing w:before="80" w:after="80" w:lineRule="atLeast" w:line="560"/>
            </w:pPr>
            <w:sdt>
              <w:sdtPr>
                <w:alias w:val="clearance_holder_facility_security_officer_email"/>
                <w:tag w:val="clearance_holder_facility_security_officer_email"/>
                <w:id w:val="100002"/>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r>
      <w:tr>
        <w:tc>
          <w:tcPr>
            <w:tcW w:type="dxa" w:w="2448"/>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5D5D60"/>
                <w:sz w:val="15"/>
                <w:u w:val="none"/>
              </w:rPr>
              <w:t>INSIDER THREAT POC</w:t>
            </w:r>
          </w:p>
        </w:tc>
        <w:tc>
          <w:tcPr>
            <w:tcW w:type="dxa" w:w="3744"/>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Name</w:t>
            </w:r>
          </w:p>
          <w:p>
            <w:pPr>
              <w:spacing w:before="80" w:after="80" w:lineRule="atLeast" w:line="560"/>
            </w:pPr>
            <w:sdt>
              <w:sdtPr>
                <w:alias w:val="clearance_holder_insider_threat_poc_name"/>
                <w:tag w:val="clearance_holder_insider_threat_poc_name"/>
                <w:id w:val="100003"/>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c>
          <w:tcPr>
            <w:tcW w:type="dxa" w:w="4392"/>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Email</w:t>
            </w:r>
          </w:p>
          <w:p>
            <w:pPr>
              <w:spacing w:before="80" w:after="80" w:lineRule="atLeast" w:line="560"/>
            </w:pPr>
            <w:sdt>
              <w:sdtPr>
                <w:alias w:val="clearance_holder_insider_threat_poc_email"/>
                <w:tag w:val="clearance_holder_insider_threat_poc_email"/>
                <w:id w:val="100004"/>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r>
    </w:tbl>
    <w:p>
      <w:pPr>
        <w:spacing w:after="20"/>
      </w:pPr>
    </w:p>
    <w:p>
      <w:pPr>
        <w:spacing w:before="120" w:after="20"/>
      </w:pPr>
      <w:r>
        <w:rPr>
          <w:rFonts w:ascii="Verdana" w:hAnsi="Verdana"/>
          <w:b/>
          <w:color w:val="416180"/>
          <w:sz w:val="22"/>
          <w:u w:val="none"/>
        </w:rPr>
        <w:t xml:space="preserve">01  </w:t>
      </w:r>
      <w:r>
        <w:rPr>
          <w:rFonts w:ascii="Verdana" w:hAnsi="Verdana"/>
          <w:b/>
          <w:color w:val="1D1F20"/>
          <w:sz w:val="22"/>
          <w:u w:val="none"/>
        </w:rPr>
        <w:t>THE BASICS</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Access needs 3 things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 clearance at the right level, a signed SF 312, and a need to know. Same clearance level as you does not mean someone is entitled to the information.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Protect it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Approved containers and areas only. Never on a personal device, personal email, or cloud storage. Never take it home.</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Never go public</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Do not disclose classified information publicly. Do not release unclassified information about a classified contract without prior review (DD Form 254).</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Speak up fast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If classified information may have been lost, mishandled, or exposed, including by accident, including by you, tell your FSO immediately.</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It follows you</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Your SF 312 nondisclosure obligation is lifelong. It does not end when you change jobs or lose your clearance.</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You are watched</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You are continuously vetted, and you must submit an updated questionnaire (PVQ/SF-86) every 5 years. Arrests, bankruptcies, and similar events surface on their own. Better they hear it from you.</w:t>
            </w:r>
          </w:p>
        </w:tc>
      </w:tr>
    </w:tbl>
    <w:p>
      <w:pPr>
        <w:spacing w:after="0"/>
      </w:pPr>
    </w:p>
    <w:p>
      <w:pPr>
        <w:spacing w:before="120" w:after="20"/>
      </w:pPr>
      <w:r>
        <w:rPr>
          <w:rFonts w:ascii="Verdana" w:hAnsi="Verdana"/>
          <w:b/>
          <w:color w:val="416180"/>
          <w:sz w:val="22"/>
          <w:u w:val="none"/>
        </w:rPr>
        <w:t xml:space="preserve">02  </w:t>
      </w:r>
      <w:r>
        <w:rPr>
          <w:rFonts w:ascii="Verdana" w:hAnsi="Verdana"/>
          <w:b/>
          <w:color w:val="1D1F20"/>
          <w:sz w:val="22"/>
          <w:u w:val="none"/>
        </w:rPr>
        <w:t>YOU MUST REPORT: ALL CLEARANCE HOLDERS</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Foreign travel</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Personal trip abroad: give your FSO a complete itinerary BEFORE you go. Itinerary changes, unplanned Canada/Mexico day trips, and emergency travel: report within 5 business days of return. Not reportable: official travel on a Government contract; Puerto Rico, Guam, the U.S. Virgin Islands, American Samoa, and the Northern Mariana Islands.</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Foreign contacts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Contact with a known or suspected foreign intelligence entity · a continuing relationship with a foreign national involving affection, personal obligation, or intimate contact · exchanging personal information with a foreign national you'll be in contact with again. Not reportable: official-duty or casual public contact.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Foreign documents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Applying for or receiving foreign citizenship · applying for, possessing, or using a foreign passport or ID card. Having one counts, even unused. Dual citizens: enter and exit the U.S. on your U.S. passport.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Pressure &amp; media</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Any attempt to elicit, exploit, blackmail, coerce, or entice you into giving up protected information (report immediately) · media seeking classified or protected information.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Law enforcement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Arrests. Any arrest, whether or not charges were filed or later dropped.</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Money</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Bankruptcy · more than 120 days delinquent on any debt.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Alcohol &amp; drugs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Alcohol- or drug-related treatment.</w:t>
            </w:r>
          </w:p>
        </w:tc>
      </w:tr>
      <w:tr>
        <w:tc>
          <w:tcPr>
            <w:tcW w:type="dxa" w:w="1685"/>
            <w:tcBorders>
              <w:top w:val="nil"/>
              <w:left w:val="nil"/>
              <w:bottom w:val="nil"/>
              <w:right w:val="nil"/>
            </w:tcBorders>
            <w:shd w:fill="EEF6FF"/>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Cryptocurrency</w:t>
            </w:r>
          </w:p>
          <w:p>
            <w:pPr>
              <w:spacing w:before="20"/>
            </w:pPr>
            <w:r>
              <w:rPr>
                <w:rFonts w:ascii="Verdana" w:hAnsi="Verdana"/>
                <w:b/>
                <w:color w:val="416180"/>
                <w:sz w:val="11"/>
              </w:rPr>
              <w:t xml:space="preserve"> ISL </w:t>
            </w:r>
          </w:p>
        </w:tc>
        <w:tc>
          <w:tcPr>
            <w:tcW w:type="dxa" w:w="9144"/>
            <w:tcBorders>
              <w:top w:val="nil"/>
              <w:left w:val="nil"/>
              <w:bottom w:val="nil"/>
              <w:right w:val="nil"/>
            </w:tcBorders>
            <w:shd w:fill="EEF6FF"/>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Cryptocurrency that is backed, hosted, or managed by a foreign state, or a wallet hosted by a foreign exchange. You do not report crypto you hold without knowing of any foreign connection, or crypto inside a diversified fund such as an index fund (unless that fund is entirely foreign-backed crypto).</w:t>
            </w:r>
          </w:p>
        </w:tc>
      </w:tr>
      <w:tr>
        <w:tc>
          <w:tcPr>
            <w:tcW w:type="dxa" w:w="1685"/>
            <w:tcBorders>
              <w:top w:val="nil"/>
              <w:left w:val="nil"/>
              <w:bottom w:val="nil"/>
              <w:right w:val="nil"/>
            </w:tcBorders>
            <w:shd w:fill="EEF6FF"/>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Mental health</w:t>
            </w:r>
          </w:p>
          <w:p>
            <w:pPr>
              <w:spacing w:before="20"/>
            </w:pPr>
            <w:r>
              <w:rPr>
                <w:rFonts w:ascii="Verdana" w:hAnsi="Verdana"/>
                <w:b/>
                <w:color w:val="416180"/>
                <w:sz w:val="11"/>
              </w:rPr>
              <w:t xml:space="preserve"> ISL </w:t>
            </w:r>
          </w:p>
        </w:tc>
        <w:tc>
          <w:tcPr>
            <w:tcW w:type="dxa" w:w="9144"/>
            <w:tcBorders>
              <w:top w:val="nil"/>
              <w:left w:val="nil"/>
              <w:bottom w:val="nil"/>
              <w:right w:val="nil"/>
            </w:tcBorders>
            <w:shd w:fill="EEF6FF"/>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only these: a court ruling you mentally incompetent or ordering you to consult a mental health professional · hospitalization for a mental health condition · a diagnosis of psychotic, schizophrenic, schizoaffective, delusional, bipolar, borderline, or antisocial personality disorder · changing or stopping treatment for one of those in the last 7 years without consulting a professional first · any condition you believe affects your judgment or reliability. Ordinary counseling or therapy is NOT reportable. Do not avoid getting help.</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Other reportable events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Change in name · termination · citizenship change · suspicious contacts (</w:t>
            </w:r>
            <w:hyperlink r:id="rId9">
              <w:r>
                <w:rPr>
                  <w:rFonts w:ascii="Verdana" w:hAnsi="Verdana"/>
                  <w:sz w:val="16"/>
                  <w:color w:val="416180"/>
                  <w:u w:val="single"/>
                </w:rPr>
                <w:t xml:space="preserve">32 CFR 117.8(a)</w:t>
              </w:r>
            </w:hyperlink>
            <w:r>
              <w:rPr>
                <w:rFonts w:ascii="Verdana" w:hAnsi="Verdana"/>
                <w:b w:val="0"/>
                <w:color w:val="1D1F20"/>
                <w:sz w:val="16"/>
                <w:u w:val="none"/>
              </w:rPr>
              <w:t>) · things you observe in other cleared people, see page 2.</w:t>
            </w:r>
          </w:p>
        </w:tc>
      </w:tr>
    </w:tbl>
    <w:p>
      <w:pPr>
        <w:spacing w:after="0"/>
      </w:pPr>
    </w:p>
    <w:p>
      <w:pPr>
        <w:spacing w:after="40"/>
      </w:pPr>
      <w:r>
        <w:rPr>
          <w:rFonts w:ascii="Verdana" w:hAnsi="Verdana"/>
          <w:b w:val="0"/>
          <w:color w:val="5D5D60"/>
          <w:sz w:val="13"/>
          <w:u w:val="none"/>
        </w:rPr>
        <w:t xml:space="preserve">ISL  Industry-only requirement. These two categories come from </w:t>
      </w:r>
      <w:hyperlink r:id="rId10">
        <w:r>
          <w:rPr>
            <w:rFonts w:ascii="Verdana" w:hAnsi="Verdana"/>
            <w:sz w:val="13"/>
            <w:color w:val="416180"/>
            <w:u w:val="single"/>
          </w:rPr>
          <w:t xml:space="preserve">DCSA Industrial Security Letter 2021-02</w:t>
        </w:r>
      </w:hyperlink>
      <w:r>
        <w:rPr>
          <w:rFonts w:ascii="Verdana" w:hAnsi="Verdana"/>
          <w:b w:val="0"/>
          <w:color w:val="5D5D60"/>
          <w:sz w:val="13"/>
          <w:u w:val="none"/>
        </w:rPr>
        <w:t xml:space="preserve">, not from </w:t>
      </w:r>
      <w:hyperlink r:id="rId11">
        <w:r>
          <w:rPr>
            <w:rFonts w:ascii="Verdana" w:hAnsi="Verdana"/>
            <w:sz w:val="13"/>
            <w:color w:val="416180"/>
            <w:u w:val="single"/>
          </w:rPr>
          <w:t xml:space="preserve">SEAD 3</w:t>
        </w:r>
      </w:hyperlink>
      <w:r>
        <w:rPr>
          <w:rFonts w:ascii="Verdana" w:hAnsi="Verdana"/>
          <w:b w:val="0"/>
          <w:color w:val="5D5D60"/>
          <w:sz w:val="13"/>
          <w:u w:val="none"/>
        </w:rPr>
        <w:t xml:space="preserve"> itself. ISLs bind only entities for whom the Department of Defense is the Cognizant Security Agency, so this applies to cleared industry under DoD cognizance. Government employees and contractors under a different CSA do not report these.</w:t>
      </w:r>
    </w:p>
    <w:p>
      <w:pPr>
        <w:spacing w:before="120" w:after="20"/>
      </w:pPr>
      <w:r>
        <w:rPr>
          <w:rFonts w:ascii="Verdana" w:hAnsi="Verdana"/>
          <w:b/>
          <w:color w:val="416180"/>
          <w:sz w:val="22"/>
          <w:u w:val="none"/>
        </w:rPr>
        <w:t xml:space="preserve">03  </w:t>
      </w:r>
      <w:r>
        <w:rPr>
          <w:rFonts w:ascii="Verdana" w:hAnsi="Verdana"/>
          <w:b/>
          <w:color w:val="1D1F20"/>
          <w:sz w:val="22"/>
          <w:u w:val="none"/>
        </w:rPr>
        <w:t>TOP SECRET / “Q” ACCESS: YOU ALSO REPORT</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Personal life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Marriage (including civil unions and domestic partnerships) · cohabitants · a foreign national roommate living with you more than 30 days · adopting a non-U.S.-citizen child.</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Foreign ties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Direct involvement in foreign business · foreign bank accounts · owning foreign property, including timeshares · voting in a foreign election.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Money</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Garnishment · any unusual gain of $10,000 or more: inheritance, winnings, or similar. Good news is still reportable.</w:t>
            </w:r>
          </w:p>
        </w:tc>
      </w:tr>
    </w:tbl>
    <w:p>
      <w:pPr>
        <w:spacing w:after="0"/>
      </w:pPr>
    </w:p>
    <w:tbl>
      <w:tblPr>
        <w:tblW w:type="auto" w:w="0"/>
        <w:tblLook w:firstColumn="1" w:firstRow="1" w:lastColumn="0" w:lastRow="0" w:noHBand="0" w:noVBand="1" w:val="04A0"/>
      </w:tblPr>
      <w:tblGrid>
        <w:gridCol w:w="11520"/>
      </w:tblGrid>
      <w:tr>
        <w:tc>
          <w:tcPr>
            <w:tcW w:type="dxa" w:w="11520"/>
            <w:shd w:fill="EEF6FF"/>
            <w:tcBorders>
              <w:top w:val="single" w:sz="8" w:color="597EA3"/>
              <w:left w:val="single" w:sz="8" w:color="597EA3"/>
              <w:bottom w:val="single" w:sz="8" w:color="597EA3"/>
              <w:right w:val="single" w:sz="8" w:color="597EA3"/>
            </w:tcBorders>
          </w:tcPr>
          <w:p>
            <w:r>
              <w:rPr>
                <w:rFonts w:ascii="Verdana" w:hAnsi="Verdana"/>
                <w:b/>
                <w:color w:val="2C455D"/>
                <w:sz w:val="15"/>
                <w:u w:val="none"/>
              </w:rPr>
              <w:t xml:space="preserve">NOT SURE WHETHER SOMETHING COUNTS? REPORT IT.  </w:t>
            </w:r>
            <w:r>
              <w:rPr>
                <w:rFonts w:ascii="Verdana" w:hAnsi="Verdana"/>
                <w:b w:val="0"/>
                <w:color w:val="1D1F20"/>
                <w:sz w:val="15"/>
                <w:u w:val="none"/>
              </w:rPr>
              <w:t>The point is not to decide guilt or innocence. It is to let the Government see a legitimate explanation up front. Reporting is routine and usually results in no action. Failing to report can cost you your clearance. Already listed on your SF-86 or PVQ? You do not need to report it again.</w:t>
            </w:r>
          </w:p>
        </w:tc>
      </w:tr>
    </w:tbl>
    <w:p>
      <w:pPr>
        <w:spacing w:after="40"/>
      </w:pPr>
    </w:p>
    <w:p>
      <w:pPr>
        <w:spacing w:after="40"/>
      </w:pPr>
      <w:r>
        <w:rPr>
          <w:rFonts w:ascii="Verdana" w:hAnsi="Verdana"/>
          <w:b w:val="0"/>
          <w:color w:val="5D5D60"/>
          <w:sz w:val="13"/>
          <w:u w:val="none"/>
        </w:rPr>
        <w:t xml:space="preserve">Sources: </w:t>
      </w:r>
      <w:hyperlink r:id="rId11">
        <w:r>
          <w:rPr>
            <w:rFonts w:ascii="Verdana" w:hAnsi="Verdana"/>
            <w:sz w:val="13"/>
            <w:color w:val="416180"/>
            <w:u w:val="single"/>
          </w:rPr>
          <w:t xml:space="preserve">SEAD 3</w:t>
        </w:r>
      </w:hyperlink>
      <w:r>
        <w:rPr>
          <w:rFonts w:ascii="Verdana" w:hAnsi="Verdana"/>
          <w:b w:val="0"/>
          <w:color w:val="5D5D60"/>
          <w:sz w:val="13"/>
          <w:u w:val="none"/>
        </w:rPr>
        <w:t xml:space="preserve"> · </w:t>
      </w:r>
      <w:hyperlink r:id="rId10">
        <w:r>
          <w:rPr>
            <w:rFonts w:ascii="Verdana" w:hAnsi="Verdana"/>
            <w:sz w:val="13"/>
            <w:color w:val="416180"/>
            <w:u w:val="single"/>
          </w:rPr>
          <w:t xml:space="preserve">ISL 2021-02</w:t>
        </w:r>
      </w:hyperlink>
      <w:r>
        <w:rPr>
          <w:rFonts w:ascii="Verdana" w:hAnsi="Verdana"/>
          <w:b w:val="0"/>
          <w:color w:val="5D5D60"/>
          <w:sz w:val="13"/>
          <w:u w:val="none"/>
        </w:rPr>
        <w:t xml:space="preserve"> · </w:t>
      </w:r>
      <w:hyperlink r:id="rId9">
        <w:r>
          <w:rPr>
            <w:rFonts w:ascii="Verdana" w:hAnsi="Verdana"/>
            <w:sz w:val="13"/>
            <w:color w:val="416180"/>
            <w:u w:val="single"/>
          </w:rPr>
          <w:t xml:space="preserve">32 CFR Part 117.8</w:t>
        </w:r>
      </w:hyperlink>
      <w:r>
        <w:rPr>
          <w:rFonts w:ascii="Verdana" w:hAnsi="Verdana"/>
          <w:b w:val="0"/>
          <w:color w:val="5D5D60"/>
          <w:sz w:val="13"/>
          <w:u w:val="none"/>
        </w:rPr>
        <w:t>. This sheet summarizes published policy and does not supersede it. Questions go to your FSO. Page 2: what you must report about others.  Current as of September 2026.</w:t>
      </w:r>
    </w:p>
    <w:p>
      <w:r>
        <w:br w:type="page"/>
      </w:r>
    </w:p>
    <w:p>
      <w:pPr>
        <w:spacing w:after="20"/>
      </w:pPr>
      <w:r>
        <w:rPr>
          <w:rFonts w:ascii="Verdana" w:hAnsi="Verdana"/>
          <w:b w:val="0"/>
          <w:color w:val="416180"/>
          <w:sz w:val="15"/>
          <w:u w:val="none"/>
        </w:rPr>
        <w:t>PAGE 2 OF 2</w:t>
      </w:r>
    </w:p>
    <w:p>
      <w:pPr>
        <w:spacing w:after="40"/>
      </w:pPr>
      <w:r>
        <w:rPr>
          <w:rFonts w:ascii="Verdana" w:hAnsi="Verdana"/>
          <w:b/>
          <w:color w:val="1D1F20"/>
          <w:sz w:val="32"/>
          <w:u w:val="none"/>
        </w:rPr>
        <w:t>Reporting About Other Cleared People</w:t>
      </w:r>
    </w:p>
    <w:p>
      <w:pPr>
        <w:spacing w:after="80"/>
        <w:jc w:val="right"/>
      </w:pPr>
      <w:r>
        <w:rPr>
          <w:rFonts w:ascii="Verdana" w:hAnsi="Verdana"/>
          <w:b w:val="0"/>
          <w:color w:val="5D5D60"/>
          <w:sz w:val="14"/>
          <w:u w:val="none"/>
        </w:rPr>
        <w:t>SEAD 3, Section F.3. Report to your FSO.</w:t>
      </w:r>
    </w:p>
    <w:p>
      <w:pPr>
        <w:spacing w:after="60"/>
        <w:pBdr>
          <w:bottom w:val="single" w:sz="18" w:space="1" w:color="1D1F20"/>
        </w:pBdr>
      </w:pPr>
    </w:p>
    <w:tbl>
      <w:tblPr>
        <w:tblW w:type="auto" w:w="0"/>
        <w:tblLook w:firstColumn="1" w:firstRow="1" w:lastColumn="0" w:lastRow="0" w:noHBand="0" w:noVBand="1" w:val="04A0"/>
      </w:tblPr>
      <w:tblGrid>
        <w:gridCol w:w="11520"/>
      </w:tblGrid>
      <w:tr>
        <w:tc>
          <w:tcPr>
            <w:tcW w:type="dxa" w:w="11520"/>
            <w:shd w:fill="EEF6FF"/>
            <w:tcBorders>
              <w:top w:val="single" w:sz="8" w:color="597EA3"/>
              <w:left w:val="single" w:sz="8" w:color="597EA3"/>
              <w:bottom w:val="single" w:sz="8" w:color="597EA3"/>
              <w:right w:val="single" w:sz="8" w:color="597EA3"/>
            </w:tcBorders>
          </w:tcPr>
          <w:p>
            <w:r>
              <w:rPr>
                <w:rFonts w:ascii="Verdana" w:hAnsi="Verdana"/>
                <w:b/>
                <w:color w:val="2C455D"/>
                <w:sz w:val="15"/>
                <w:u w:val="none"/>
              </w:rPr>
              <w:t xml:space="preserve">THIS IS REQUIRED.  </w:t>
            </w:r>
            <w:hyperlink r:id="rId11">
              <w:r>
                <w:rPr>
                  <w:rFonts w:ascii="Verdana" w:hAnsi="Verdana"/>
                  <w:sz w:val="15"/>
                  <w:color w:val="416180"/>
                  <w:u w:val="single"/>
                </w:rPr>
                <w:t xml:space="preserve">SEAD 3</w:t>
              </w:r>
            </w:hyperlink>
            <w:r>
              <w:rPr>
                <w:rFonts w:ascii="Verdana" w:hAnsi="Verdana"/>
                <w:b w:val="0"/>
                <w:color w:val="1D1F20"/>
                <w:sz w:val="15"/>
                <w:u w:val="none"/>
              </w:rPr>
              <w:t xml:space="preserve"> obligates you to alert your FSO to the activities below when you observe them in other covered individuals. It is a condition of holding a clearance, not a matter of preference. The purpose is to get a problem addressed early, while it is still small.</w:t>
            </w:r>
          </w:p>
        </w:tc>
      </w:tr>
    </w:tbl>
    <w:p>
      <w:pPr>
        <w:spacing w:after="40"/>
      </w:pPr>
    </w:p>
    <w:p>
      <w:pPr>
        <w:spacing w:before="120" w:after="20"/>
      </w:pPr>
      <w:r>
        <w:rPr>
          <w:rFonts w:ascii="Verdana" w:hAnsi="Verdana"/>
          <w:b/>
          <w:color w:val="416180"/>
          <w:sz w:val="22"/>
          <w:u w:val="none"/>
        </w:rPr>
        <w:t xml:space="preserve">01  </w:t>
      </w:r>
      <w:r>
        <w:rPr>
          <w:rFonts w:ascii="Verdana" w:hAnsi="Verdana"/>
          <w:b/>
          <w:color w:val="1D1F20"/>
          <w:sz w:val="22"/>
          <w:u w:val="none"/>
        </w:rPr>
        <w:t>WHAT YOU REPORT</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Security noncompliance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An unwillingness to comply with rules and regulations, or to cooperate with security requirements. Repeatedly leaving material unsecured, working around access controls, refusing to follow procedure, resisting required briefings.</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Unexplained affluence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Spending or assets with no visible legitimate source. This is about the absence of an explanation, not about someone doing well.</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Excessive indebtedness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Debt at a level that could create pressure or vulnerability.</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Alcohol abuse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Not social drinking. Abuse: impairment at work, alcohol-related incidents, a pattern that is affecting judgment or reliability.</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Illegal drugs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Illegal use or misuse of drugs, or drug activity. This includes misuse of prescription medication and marijuana, which remains federally prohibited regardless of state law.</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Criminal conduct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Any criminal conduct you become aware of.</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Misuse of Government systems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Misuse of U.S. Government property or information systems. Unauthorized access, moving data where it does not belong, using systems for unapproved purposes.</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Mental health, but only if</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Apparent or suspected mental health issues where there is reason to believe it may impact their ability to protect classified information. That qualifier is the whole test. Someone having a hard time, seeking treatment, or being visibly stressed is not reportable on its own.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The catch-all</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Any activity that raises doubt as to whether their continued national security eligibility is clearly consistent with the interests of national security.</w:t>
            </w:r>
          </w:p>
        </w:tc>
      </w:tr>
    </w:tbl>
    <w:p>
      <w:pPr>
        <w:spacing w:after="0"/>
      </w:pPr>
    </w:p>
    <w:p>
      <w:pPr>
        <w:spacing w:before="120" w:after="20"/>
      </w:pPr>
      <w:r>
        <w:rPr>
          <w:rFonts w:ascii="Verdana" w:hAnsi="Verdana"/>
          <w:b/>
          <w:color w:val="416180"/>
          <w:sz w:val="22"/>
          <w:u w:val="none"/>
        </w:rPr>
        <w:t xml:space="preserve">02  </w:t>
      </w:r>
      <w:r>
        <w:rPr>
          <w:rFonts w:ascii="Verdana" w:hAnsi="Verdana"/>
          <w:b/>
          <w:color w:val="1D1F20"/>
          <w:sz w:val="22"/>
          <w:u w:val="none"/>
        </w:rPr>
        <w:t>WHAT YOU DO NOT REPORT</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Rumor or innuendo</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Policy is explicit that reports are not made on rumor or innuendo. If you did not observe it and cannot identify where it came from, say so rather than passing it on as fact.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Personal friction</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Disagreements, personality conflicts, competition, or dislike are not security concerns and do not belong in a security report.</w:t>
            </w:r>
          </w:p>
        </w:tc>
      </w:tr>
      <w:tr>
        <w:tc>
          <w:tcPr>
            <w:tcW w:type="dxa" w:w="1685"/>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Protected activity †</w:t>
            </w:r>
          </w:p>
        </w:tc>
        <w:tc>
          <w:tcPr>
            <w:tcW w:type="dxa" w:w="9144"/>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Filing an EEO complaint, lawful whistleblowing, union activity, and other legally protected conduct are not security concerns.</w:t>
            </w:r>
          </w:p>
        </w:tc>
      </w:tr>
      <w:tr>
        <w:tc>
          <w:tcPr>
            <w:tcW w:type="dxa" w:w="1685"/>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Lawful private life †</w:t>
            </w:r>
          </w:p>
        </w:tc>
        <w:tc>
          <w:tcPr>
            <w:tcW w:type="dxa" w:w="9144"/>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Someone's religion, politics, or personal relationships are not reportable absent one of the specific triggers above or on page 1.</w:t>
            </w:r>
          </w:p>
        </w:tc>
      </w:tr>
    </w:tbl>
    <w:p>
      <w:pPr>
        <w:spacing w:after="0"/>
      </w:pPr>
    </w:p>
    <w:p>
      <w:pPr>
        <w:spacing w:before="120" w:after="20"/>
      </w:pPr>
      <w:r>
        <w:rPr>
          <w:rFonts w:ascii="Verdana" w:hAnsi="Verdana"/>
          <w:b/>
          <w:color w:val="416180"/>
          <w:sz w:val="22"/>
          <w:u w:val="none"/>
        </w:rPr>
        <w:t xml:space="preserve">03  </w:t>
      </w:r>
      <w:r>
        <w:rPr>
          <w:rFonts w:ascii="Verdana" w:hAnsi="Verdana"/>
          <w:b/>
          <w:color w:val="1D1F20"/>
          <w:sz w:val="22"/>
          <w:u w:val="none"/>
        </w:rPr>
        <w:t>HOW TO DO IT</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Report facts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What you observed, when, and where. If you heard it from someone else, say that plainly. Do not investigate, do not confront the person, and do not discuss it with coworkers.</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Where it goes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Your FSO or assigned designee, who decides what is submitted. You are not expected to judge whether it is serious enough. That determination is not yours to make.</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What happens next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Most reports are administrative and result in no action. Where there is a real issue, the common outcome is that the person gets support or a correction early, which is very often what keeps a clearance rather than what costs one.</w:t>
            </w:r>
          </w:p>
        </w:tc>
      </w:tr>
    </w:tbl>
    <w:p>
      <w:pPr>
        <w:spacing w:after="0"/>
      </w:pPr>
    </w:p>
    <w:tbl>
      <w:tblPr>
        <w:tblW w:type="auto" w:w="0"/>
        <w:tblLook w:firstColumn="1" w:firstRow="1" w:lastColumn="0" w:lastRow="0" w:noHBand="0" w:noVBand="1" w:val="04A0"/>
      </w:tblPr>
      <w:tblGrid>
        <w:gridCol w:w="11520"/>
      </w:tblGrid>
      <w:tr>
        <w:tc>
          <w:tcPr>
            <w:tcW w:type="dxa" w:w="11520"/>
            <w:shd w:fill="EEF6FF"/>
            <w:tcBorders>
              <w:top w:val="single" w:sz="8" w:color="597EA3"/>
              <w:left w:val="single" w:sz="8" w:color="597EA3"/>
              <w:bottom w:val="single" w:sz="8" w:color="597EA3"/>
              <w:right w:val="single" w:sz="8" w:color="597EA3"/>
            </w:tcBorders>
          </w:tcPr>
          <w:p>
            <w:r>
              <w:rPr>
                <w:rFonts w:ascii="Verdana" w:hAnsi="Verdana"/>
                <w:b/>
                <w:color w:val="2C455D"/>
                <w:sz w:val="15"/>
                <w:u w:val="none"/>
              </w:rPr>
              <w:t xml:space="preserve">THIS IS NOT ABOUT GETTING SOMEONE IN TROUBLE.  </w:t>
            </w:r>
            <w:r>
              <w:rPr>
                <w:rFonts w:ascii="Verdana" w:hAnsi="Verdana"/>
                <w:b w:val="0"/>
                <w:color w:val="1D1F20"/>
                <w:sz w:val="15"/>
                <w:u w:val="none"/>
              </w:rPr>
              <w:t>A colleague under financial pressure, drinking too much, or struggling with their mental health is a person at risk before they are ever a security risk. Raising it early is usually how they get help. Staying quiet until it becomes a security incident helps no one, least of all them.</w:t>
            </w:r>
          </w:p>
        </w:tc>
      </w:tr>
    </w:tbl>
    <w:p>
      <w:pPr>
        <w:spacing w:after="40"/>
      </w:pPr>
    </w:p>
    <w:p>
      <w:pPr>
        <w:spacing w:after="40"/>
      </w:pPr>
      <w:r>
        <w:rPr>
          <w:rFonts w:ascii="Verdana" w:hAnsi="Verdana"/>
          <w:b w:val="0"/>
          <w:color w:val="5D5D60"/>
          <w:sz w:val="13"/>
          <w:u w:val="none"/>
        </w:rPr>
        <w:t xml:space="preserve">Source: </w:t>
      </w:r>
      <w:hyperlink r:id="rId11">
        <w:r>
          <w:rPr>
            <w:rFonts w:ascii="Verdana" w:hAnsi="Verdana"/>
            <w:sz w:val="13"/>
            <w:color w:val="416180"/>
            <w:u w:val="single"/>
          </w:rPr>
          <w:t xml:space="preserve">SEAD 3, Section F.3</w:t>
        </w:r>
      </w:hyperlink>
      <w:r>
        <w:rPr>
          <w:rFonts w:ascii="Verdana" w:hAnsi="Verdana"/>
          <w:b w:val="0"/>
          <w:color w:val="5D5D60"/>
          <w:sz w:val="13"/>
          <w:u w:val="none"/>
        </w:rPr>
        <w:t xml:space="preserve">; </w:t>
      </w:r>
      <w:hyperlink r:id="rId9">
        <w:r>
          <w:rPr>
            <w:rFonts w:ascii="Verdana" w:hAnsi="Verdana"/>
            <w:sz w:val="13"/>
            <w:color w:val="416180"/>
            <w:u w:val="single"/>
          </w:rPr>
          <w:t xml:space="preserve">32 CFR Part 117.8(c)(1)</w:t>
        </w:r>
      </w:hyperlink>
      <w:r>
        <w:rPr>
          <w:rFonts w:ascii="Verdana" w:hAnsi="Verdana"/>
          <w:b w:val="0"/>
          <w:color w:val="5D5D60"/>
          <w:sz w:val="13"/>
          <w:u w:val="none"/>
        </w:rPr>
        <w:t xml:space="preserve"> † Shaded rows reflect general legal protections rather than text quoted from </w:t>
      </w:r>
      <w:hyperlink r:id="rId11">
        <w:r>
          <w:rPr>
            <w:rFonts w:ascii="Verdana" w:hAnsi="Verdana"/>
            <w:sz w:val="13"/>
            <w:color w:val="416180"/>
            <w:u w:val="single"/>
          </w:rPr>
          <w:t xml:space="preserve">SEAD 3</w:t>
        </w:r>
      </w:hyperlink>
      <w:r>
        <w:rPr>
          <w:rFonts w:ascii="Verdana" w:hAnsi="Verdana"/>
          <w:b w:val="0"/>
          <w:color w:val="5D5D60"/>
          <w:sz w:val="13"/>
          <w:u w:val="none"/>
        </w:rPr>
        <w:t>. Questions go to your FSO.  Current as of September 2026.</w:t>
      </w:r>
    </w:p>
    <w:sectPr w:rsidR="00FC693F" w:rsidRPr="0006063C" w:rsidSect="000346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erdana" w:hAnsi="Verdana"/>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ecfr.gov/current/title-32/part-117" TargetMode="External"/><Relationship Id="rId10" Type="http://schemas.openxmlformats.org/officeDocument/2006/relationships/hyperlink" Target="https://www.dcsa.mil/Portals/91/Documents/CTP/tools/ISL2021-02_SEAD-3.pdf" TargetMode="External"/><Relationship Id="rId11" Type="http://schemas.openxmlformats.org/officeDocument/2006/relationships/hyperlink" Target="https://archive.dni.gov/files/NCSC/documents/Regulations/SEAD-3-Reporting-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