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Verdana" w:hAnsi="Verdana"/>
          <w:b w:val="0"/>
          <w:color w:val="416180"/>
          <w:sz w:val="15"/>
          <w:u w:val="none"/>
        </w:rPr>
        <w:t>FSO QUICK REFERENCE</w:t>
      </w:r>
    </w:p>
    <w:p>
      <w:pPr>
        <w:spacing w:after="40"/>
      </w:pPr>
      <w:r>
        <w:rPr>
          <w:rFonts w:ascii="Verdana" w:hAnsi="Verdana"/>
          <w:b/>
          <w:color w:val="1D1F20"/>
          <w:sz w:val="34"/>
          <w:u w:val="none"/>
        </w:rPr>
        <w:t>Individual Reporting</w:t>
      </w:r>
    </w:p>
    <w:p>
      <w:pPr>
        <w:spacing w:after="80"/>
        <w:jc w:val="right"/>
      </w:pPr>
      <w:r>
        <w:rPr>
          <w:rFonts w:ascii="Verdana" w:hAnsi="Verdana"/>
          <w:b w:val="0"/>
          <w:color w:val="5D5D60"/>
          <w:sz w:val="14"/>
          <w:u w:val="none"/>
        </w:rPr>
        <w:t>Administering SEAD 3 and ISL 2021-02 reporting for your cleared population. Companion to the employee one sheet.</w:t>
      </w:r>
    </w:p>
    <w:p>
      <w:pPr>
        <w:spacing w:after="60"/>
        <w:pBdr>
          <w:bottom w:val="single" w:sz="18" w:space="1" w:color="1D1F20"/>
        </w:pBdr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  <w:gridCol w:w="2880"/>
      </w:tblGrid>
      <w:tr>
        <w:tc>
          <w:tcPr>
            <w:tcW w:type="dxa" w:w="2448"/>
            <w:shd w:fill="F5F5F8"/>
            <w:tcBorders>
              <w:top w:val="single" w:sz="8" w:color="1D1F20"/>
              <w:left w:val="single" w:sz="8" w:color="1D1F20"/>
              <w:bottom w:val="single" w:sz="8" w:color="1D1F20"/>
              <w:right w:val="single" w:sz="8" w:color="1D1F20"/>
            </w:tcBorders>
          </w:tcPr>
          <w:p>
            <w:pPr>
              <w:spacing w:after="20"/>
            </w:pPr>
            <w:r>
              <w:rPr>
                <w:rFonts w:ascii="Verdana" w:hAnsi="Verdana"/>
                <w:b w:val="0"/>
                <w:color w:val="5D5D60"/>
                <w:sz w:val="15"/>
                <w:u w:val="none"/>
              </w:rPr>
              <w:t>CAGE</w:t>
            </w:r>
          </w:p>
          <w:p>
            <w:pPr>
              <w:spacing w:before="80" w:after="80" w:lineRule="atLeast" w:line="560"/>
            </w:pPr>
            <w:sdt>
              <w:sdtPr>
                <w:alias w:val="fso_individual_cage"/>
                <w:tag w:val="fso_individual_cage"/>
                <w:id w:val="100005"/>
                <w:placeholder>
                  <w:docPart w:val="DefaultPlaceholder_-1854013440"/>
                </w:placeholder>
                <w:text/>
              </w:sdtPr>
              <w:sdtEndPr/>
              <w:sdtContent>
                <w:r>
                  <w:rPr>
                    <w:rFonts w:ascii="Verdana" w:hAnsi="Verdana"/>
                    <w:sz w:val="24"/>
                    <w:color w:val="757575"/>
                    <w:shd w:val="clear" w:fill="E7E6E6"/>
                  </w:rPr>
                  <w:t xml:space="preserve">Click or tap here to enter text.</w:t>
                </w:r>
              </w:sdtContent>
            </w:sdt>
          </w:p>
        </w:tc>
        <w:tc>
          <w:tcPr>
            <w:tcW w:type="dxa" w:w="2448"/>
            <w:shd w:fill="F5F5F8"/>
            <w:tcBorders>
              <w:top w:val="single" w:sz="8" w:color="1D1F20"/>
              <w:left w:val="single" w:sz="8" w:color="1D1F20"/>
              <w:bottom w:val="single" w:sz="8" w:color="1D1F20"/>
              <w:right w:val="single" w:sz="8" w:color="1D1F20"/>
            </w:tcBorders>
          </w:tcPr>
          <w:p>
            <w:pPr>
              <w:spacing w:after="20"/>
            </w:pPr>
            <w:r>
              <w:rPr>
                <w:rFonts w:ascii="Verdana" w:hAnsi="Verdana"/>
                <w:b w:val="0"/>
                <w:color w:val="5D5D60"/>
                <w:sz w:val="15"/>
                <w:u w:val="none"/>
              </w:rPr>
              <w:t>ISR</w:t>
            </w:r>
          </w:p>
          <w:p>
            <w:pPr>
              <w:spacing w:before="80" w:after="80" w:lineRule="atLeast" w:line="560"/>
            </w:pPr>
            <w:sdt>
              <w:sdtPr>
                <w:alias w:val="fso_individual_isr"/>
                <w:tag w:val="fso_individual_isr"/>
                <w:id w:val="100006"/>
                <w:placeholder>
                  <w:docPart w:val="DefaultPlaceholder_-1854013440"/>
                </w:placeholder>
                <w:text/>
              </w:sdtPr>
              <w:sdtEndPr/>
              <w:sdtContent>
                <w:r>
                  <w:rPr>
                    <w:rFonts w:ascii="Verdana" w:hAnsi="Verdana"/>
                    <w:sz w:val="24"/>
                    <w:color w:val="757575"/>
                    <w:shd w:val="clear" w:fill="E7E6E6"/>
                  </w:rPr>
                  <w:t xml:space="preserve">Click or tap here to enter text.</w:t>
                </w:r>
              </w:sdtContent>
            </w:sdt>
          </w:p>
        </w:tc>
        <w:tc>
          <w:tcPr>
            <w:tcW w:type="dxa" w:w="2448"/>
            <w:shd w:fill="F5F5F8"/>
            <w:tcBorders>
              <w:top w:val="single" w:sz="8" w:color="1D1F20"/>
              <w:left w:val="single" w:sz="8" w:color="1D1F20"/>
              <w:bottom w:val="single" w:sz="8" w:color="1D1F20"/>
              <w:right w:val="single" w:sz="8" w:color="1D1F20"/>
            </w:tcBorders>
          </w:tcPr>
          <w:p>
            <w:pPr>
              <w:spacing w:after="20"/>
            </w:pPr>
            <w:r>
              <w:rPr>
                <w:rFonts w:ascii="Verdana" w:hAnsi="Verdana"/>
                <w:b w:val="0"/>
                <w:color w:val="5D5D60"/>
                <w:sz w:val="15"/>
                <w:u w:val="none"/>
              </w:rPr>
              <w:t>CISA</w:t>
            </w:r>
          </w:p>
          <w:p>
            <w:pPr>
              <w:spacing w:before="80" w:after="80" w:lineRule="atLeast" w:line="560"/>
            </w:pPr>
            <w:sdt>
              <w:sdtPr>
                <w:alias w:val="fso_individual_cisa"/>
                <w:tag w:val="fso_individual_cisa"/>
                <w:id w:val="100007"/>
                <w:placeholder>
                  <w:docPart w:val="DefaultPlaceholder_-1854013440"/>
                </w:placeholder>
                <w:text/>
              </w:sdtPr>
              <w:sdtEndPr/>
              <w:sdtContent>
                <w:r>
                  <w:rPr>
                    <w:rFonts w:ascii="Verdana" w:hAnsi="Verdana"/>
                    <w:sz w:val="24"/>
                    <w:color w:val="757575"/>
                    <w:shd w:val="clear" w:fill="E7E6E6"/>
                  </w:rPr>
                  <w:t xml:space="preserve">Click or tap here to enter text.</w:t>
                </w:r>
              </w:sdtContent>
            </w:sdt>
          </w:p>
        </w:tc>
        <w:tc>
          <w:tcPr>
            <w:tcW w:type="dxa" w:w="2448"/>
            <w:shd w:fill="F5F5F8"/>
            <w:tcBorders>
              <w:top w:val="single" w:sz="8" w:color="1D1F20"/>
              <w:left w:val="single" w:sz="8" w:color="1D1F20"/>
              <w:bottom w:val="single" w:sz="8" w:color="1D1F20"/>
              <w:right w:val="single" w:sz="8" w:color="1D1F20"/>
            </w:tcBorders>
          </w:tcPr>
          <w:p>
            <w:pPr>
              <w:spacing w:after="20"/>
            </w:pPr>
            <w:r>
              <w:rPr>
                <w:rFonts w:ascii="Verdana" w:hAnsi="Verdana"/>
                <w:b w:val="0"/>
                <w:color w:val="5D5D60"/>
                <w:sz w:val="15"/>
                <w:u w:val="none"/>
              </w:rPr>
              <w:t>SPP REV.</w:t>
            </w:r>
          </w:p>
          <w:p>
            <w:pPr>
              <w:spacing w:before="80" w:after="80" w:lineRule="atLeast" w:line="560"/>
            </w:pPr>
            <w:sdt>
              <w:sdtPr>
                <w:alias w:val="fso_individual_spp_rev"/>
                <w:tag w:val="fso_individual_spp_rev"/>
                <w:id w:val="100008"/>
                <w:placeholder>
                  <w:docPart w:val="DefaultPlaceholder_-1854013440"/>
                </w:placeholder>
                <w:text/>
              </w:sdtPr>
              <w:sdtEndPr/>
              <w:sdtContent>
                <w:r>
                  <w:rPr>
                    <w:rFonts w:ascii="Verdana" w:hAnsi="Verdana"/>
                    <w:sz w:val="24"/>
                    <w:color w:val="757575"/>
                    <w:shd w:val="clear" w:fill="E7E6E6"/>
                  </w:rPr>
                  <w:t xml:space="preserve">Click or tap here to enter text.</w:t>
                </w:r>
              </w:sdtContent>
            </w:sdt>
          </w:p>
        </w:tc>
      </w:tr>
    </w:tbl>
    <w:p>
      <w:pPr>
        <w:spacing w:after="20"/>
      </w:pPr>
    </w:p>
    <w:p>
      <w:pPr>
        <w:spacing w:before="120" w:after="20"/>
      </w:pPr>
      <w:r>
        <w:rPr>
          <w:rFonts w:ascii="Verdana" w:hAnsi="Verdana"/>
          <w:b/>
          <w:color w:val="416180"/>
          <w:sz w:val="22"/>
          <w:u w:val="none"/>
        </w:rPr>
        <w:t xml:space="preserve">01  </w:t>
      </w:r>
      <w:r>
        <w:rPr>
          <w:rFonts w:ascii="Verdana" w:hAnsi="Verdana"/>
          <w:b/>
          <w:color w:val="1D1F20"/>
          <w:sz w:val="22"/>
          <w:u w:val="none"/>
        </w:rPr>
        <w:t>YOUR WRITTEN PLAN IS MANDATORY</w:t>
      </w:r>
      <w:r>
        <w:rPr>
          <w:rFonts w:ascii="Verdana" w:hAnsi="Verdana"/>
          <w:b w:val="0"/>
          <w:color w:val="7A7A7D"/>
          <w:sz w:val="15"/>
          <w:u w:val="none"/>
        </w:rPr>
        <w:t xml:space="preserve">  32 CFR 117.7(e) + ISL 2021-02</w:t>
      </w:r>
    </w:p>
    <w:p>
      <w:pPr>
        <w:spacing w:after="60"/>
        <w:pBdr>
          <w:bottom w:val="single" w:sz="18" w:space="1" w:color="1D1F20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760"/>
        <w:gridCol w:w="5760"/>
      </w:tblGrid>
      <w:tr>
        <w:tc>
          <w:tcPr>
            <w:tcW w:type="dxa" w:w="1685"/>
            <w:tcBorders>
              <w:top w:val="nil"/>
              <w:left w:val="nil"/>
              <w:bottom w:val="nil"/>
              <w:right w:val="nil"/>
            </w:tcBorders>
            <w:tcBorders>
              <w:top w:val="nil" w:sz="5" w:color="1D1F20"/>
              <w:left w:val="nil" w:sz="5" w:color="1D1F20"/>
              <w:bottom w:val="single" w:sz="5" w:color="1D1F20"/>
              <w:right w:val="nil" w:sz="5" w:color="1D1F20"/>
            </w:tcBorders>
          </w:tcPr>
          <w:p>
            <w:pPr>
              <w:spacing w:after="0"/>
            </w:pPr>
            <w:r>
              <w:rPr>
                <w:rFonts w:ascii="Verdana" w:hAnsi="Verdana"/>
                <w:b/>
                <w:color w:val="2C455D"/>
                <w:sz w:val="15"/>
                <w:u w:val="none"/>
              </w:rPr>
              <w:t>Must exist</w:t>
            </w:r>
          </w:p>
        </w:tc>
        <w:tc>
          <w:tcPr>
            <w:tcW w:type="dxa" w:w="9144"/>
            <w:tcBorders>
              <w:top w:val="nil"/>
              <w:left w:val="nil"/>
              <w:bottom w:val="nil"/>
              <w:right w:val="nil"/>
            </w:tcBorders>
            <w:tcBorders>
              <w:top w:val="nil" w:sz="5" w:color="1D1F20"/>
              <w:left w:val="nil" w:sz="5" w:color="1D1F20"/>
              <w:bottom w:val="single" w:sz="5" w:color="1D1F20"/>
              <w:right w:val="nil" w:sz="5" w:color="1D1F20"/>
            </w:tcBorders>
          </w:tcPr>
          <w:p>
            <w:pPr>
              <w:spacing w:after="0"/>
            </w:pPr>
            <w:r>
              <w:rPr>
                <w:rFonts w:ascii="Verdana" w:hAnsi="Verdana"/>
                <w:b w:val="0"/>
                <w:color w:val="1D1F20"/>
                <w:sz w:val="16"/>
                <w:u w:val="none"/>
              </w:rPr>
              <w:t xml:space="preserve">A written plan or SPP for </w:t>
            </w:r>
            <w:hyperlink r:id="rId9">
              <w:r>
                <w:rPr>
                  <w:rFonts w:ascii="Verdana" w:hAnsi="Verdana"/>
                  <w:sz w:val="16"/>
                  <w:color w:val="416180"/>
                  <w:u w:val="single"/>
                </w:rPr>
                <w:t xml:space="preserve">SEAD 3</w:t>
              </w:r>
            </w:hyperlink>
            <w:r>
              <w:rPr>
                <w:rFonts w:ascii="Verdana" w:hAnsi="Verdana"/>
                <w:b w:val="0"/>
                <w:color w:val="1D1F20"/>
                <w:sz w:val="16"/>
                <w:u w:val="none"/>
              </w:rPr>
              <w:t xml:space="preserve"> implementation, available for review at every security review. DCSA lists this as a remote review prep item.</w:t>
            </w:r>
          </w:p>
        </w:tc>
      </w:tr>
      <w:tr>
        <w:tc>
          <w:tcPr>
            <w:tcW w:type="dxa" w:w="1685"/>
            <w:tcBorders>
              <w:top w:val="nil"/>
              <w:left w:val="nil"/>
              <w:bottom w:val="nil"/>
              <w:right w:val="nil"/>
            </w:tcBorders>
            <w:tcBorders>
              <w:top w:val="nil" w:sz="5" w:color="1D1F20"/>
              <w:left w:val="nil" w:sz="5" w:color="1D1F20"/>
              <w:bottom w:val="single" w:sz="5" w:color="1D1F20"/>
              <w:right w:val="nil" w:sz="5" w:color="1D1F20"/>
            </w:tcBorders>
          </w:tcPr>
          <w:p>
            <w:pPr>
              <w:spacing w:after="0"/>
            </w:pPr>
            <w:r>
              <w:rPr>
                <w:rFonts w:ascii="Verdana" w:hAnsi="Verdana"/>
                <w:b/>
                <w:color w:val="2C455D"/>
                <w:sz w:val="15"/>
                <w:u w:val="none"/>
              </w:rPr>
              <w:t>Must cover</w:t>
            </w:r>
          </w:p>
        </w:tc>
        <w:tc>
          <w:tcPr>
            <w:tcW w:type="dxa" w:w="9144"/>
            <w:tcBorders>
              <w:top w:val="nil"/>
              <w:left w:val="nil"/>
              <w:bottom w:val="nil"/>
              <w:right w:val="nil"/>
            </w:tcBorders>
            <w:tcBorders>
              <w:top w:val="nil" w:sz="5" w:color="1D1F20"/>
              <w:left w:val="nil" w:sz="5" w:color="1D1F20"/>
              <w:bottom w:val="single" w:sz="5" w:color="1D1F20"/>
              <w:right w:val="nil" w:sz="5" w:color="1D1F20"/>
            </w:tcBorders>
          </w:tcPr>
          <w:p>
            <w:pPr>
              <w:spacing w:after="0"/>
            </w:pPr>
            <w:r>
              <w:rPr>
                <w:rFonts w:ascii="Verdana" w:hAnsi="Verdana"/>
                <w:b w:val="0"/>
                <w:color w:val="1D1F20"/>
                <w:sz w:val="16"/>
                <w:u w:val="none"/>
              </w:rPr>
              <w:t xml:space="preserve">(1) How you inform personnel of </w:t>
            </w:r>
            <w:hyperlink r:id="rId9">
              <w:r>
                <w:rPr>
                  <w:rFonts w:ascii="Verdana" w:hAnsi="Verdana"/>
                  <w:sz w:val="16"/>
                  <w:color w:val="416180"/>
                  <w:u w:val="single"/>
                </w:rPr>
                <w:t xml:space="preserve">SEAD 3</w:t>
              </w:r>
            </w:hyperlink>
            <w:r>
              <w:rPr>
                <w:rFonts w:ascii="Verdana" w:hAnsi="Verdana"/>
                <w:b w:val="0"/>
                <w:color w:val="1D1F20"/>
                <w:sz w:val="16"/>
                <w:u w:val="none"/>
              </w:rPr>
              <w:t xml:space="preserve"> and adverse information duties · (2) how you receive, process, and manage reports · (3) how it is implemented at the facility · (4) how an individual alerts you about other covered individuals (</w:t>
            </w:r>
            <w:hyperlink r:id="rId9">
              <w:r>
                <w:rPr>
                  <w:rFonts w:ascii="Verdana" w:hAnsi="Verdana"/>
                  <w:sz w:val="16"/>
                  <w:color w:val="416180"/>
                  <w:u w:val="single"/>
                </w:rPr>
                <w:t xml:space="preserve">SEAD 3</w:t>
              </w:r>
            </w:hyperlink>
            <w:r>
              <w:rPr>
                <w:rFonts w:ascii="Verdana" w:hAnsi="Verdana"/>
                <w:b w:val="0"/>
                <w:color w:val="1D1F20"/>
                <w:sz w:val="16"/>
                <w:u w:val="none"/>
              </w:rPr>
              <w:t xml:space="preserve"> F.3).</w:t>
            </w:r>
          </w:p>
        </w:tc>
      </w:tr>
      <w:tr>
        <w:tc>
          <w:tcPr>
            <w:tcW w:type="dxa" w:w="1685"/>
            <w:tcBorders>
              <w:top w:val="nil"/>
              <w:left w:val="nil"/>
              <w:bottom w:val="nil"/>
              <w:right w:val="nil"/>
            </w:tcBorders>
            <w:tcBorders>
              <w:top w:val="nil" w:sz="5" w:color="1D1F20"/>
              <w:left w:val="nil" w:sz="5" w:color="1D1F20"/>
              <w:bottom w:val="single" w:sz="5" w:color="1D1F20"/>
              <w:right w:val="nil" w:sz="5" w:color="1D1F20"/>
            </w:tcBorders>
          </w:tcPr>
          <w:p>
            <w:pPr>
              <w:spacing w:after="0"/>
            </w:pPr>
            <w:r>
              <w:rPr>
                <w:rFonts w:ascii="Verdana" w:hAnsi="Verdana"/>
                <w:b/>
                <w:color w:val="2C455D"/>
                <w:sz w:val="15"/>
                <w:u w:val="none"/>
              </w:rPr>
              <w:t>Who it covers</w:t>
            </w:r>
          </w:p>
        </w:tc>
        <w:tc>
          <w:tcPr>
            <w:tcW w:type="dxa" w:w="9144"/>
            <w:tcBorders>
              <w:top w:val="nil"/>
              <w:left w:val="nil"/>
              <w:bottom w:val="nil"/>
              <w:right w:val="nil"/>
            </w:tcBorders>
            <w:tcBorders>
              <w:top w:val="nil" w:sz="5" w:color="1D1F20"/>
              <w:left w:val="nil" w:sz="5" w:color="1D1F20"/>
              <w:bottom w:val="single" w:sz="5" w:color="1D1F20"/>
              <w:right w:val="nil" w:sz="5" w:color="1D1F20"/>
            </w:tcBorders>
          </w:tcPr>
          <w:p>
            <w:pPr>
              <w:spacing w:after="0"/>
            </w:pPr>
            <w:r>
              <w:rPr>
                <w:rFonts w:ascii="Verdana" w:hAnsi="Verdana"/>
                <w:b w:val="0"/>
                <w:color w:val="1D1F20"/>
                <w:sz w:val="16"/>
                <w:u w:val="none"/>
              </w:rPr>
              <w:t>Only personnel granted eligibility, or in process for it. Sensitive-position personnel with no NISP clearance go to their Government customer. If you took no affiliation because there is no reasonable expectation of access, they are not your reporting burden.</w:t>
            </w:r>
          </w:p>
        </w:tc>
      </w:tr>
    </w:tbl>
    <w:p>
      <w:pPr>
        <w:spacing w:after="0"/>
      </w:pPr>
    </w:p>
    <w:p>
      <w:pPr>
        <w:spacing w:before="120" w:after="20"/>
      </w:pPr>
      <w:r>
        <w:rPr>
          <w:rFonts w:ascii="Verdana" w:hAnsi="Verdana"/>
          <w:b/>
          <w:color w:val="416180"/>
          <w:sz w:val="22"/>
          <w:u w:val="none"/>
        </w:rPr>
        <w:t xml:space="preserve">02  </w:t>
      </w:r>
      <w:r>
        <w:rPr>
          <w:rFonts w:ascii="Verdana" w:hAnsi="Verdana"/>
          <w:b/>
          <w:color w:val="1D1F20"/>
          <w:sz w:val="22"/>
          <w:u w:val="none"/>
        </w:rPr>
        <w:t>WHERE REPORTS GO</w:t>
      </w:r>
    </w:p>
    <w:p>
      <w:pPr>
        <w:spacing w:after="60"/>
        <w:pBdr>
          <w:bottom w:val="single" w:sz="18" w:space="1" w:color="1D1F20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760"/>
        <w:gridCol w:w="5760"/>
      </w:tblGrid>
      <w:tr>
        <w:tc>
          <w:tcPr>
            <w:tcW w:type="dxa" w:w="1685"/>
            <w:tcBorders>
              <w:top w:val="nil"/>
              <w:left w:val="nil"/>
              <w:bottom w:val="nil"/>
              <w:right w:val="nil"/>
            </w:tcBorders>
            <w:tcBorders>
              <w:top w:val="nil" w:sz="5" w:color="1D1F20"/>
              <w:left w:val="nil" w:sz="5" w:color="1D1F20"/>
              <w:bottom w:val="single" w:sz="5" w:color="1D1F20"/>
              <w:right w:val="nil" w:sz="5" w:color="1D1F20"/>
            </w:tcBorders>
          </w:tcPr>
          <w:p>
            <w:pPr>
              <w:spacing w:after="0"/>
            </w:pPr>
            <w:r>
              <w:rPr>
                <w:rFonts w:ascii="Verdana" w:hAnsi="Verdana"/>
                <w:b/>
                <w:color w:val="2C455D"/>
                <w:sz w:val="15"/>
                <w:u w:val="none"/>
              </w:rPr>
              <w:t>Foreign Travel Module</w:t>
            </w:r>
          </w:p>
        </w:tc>
        <w:tc>
          <w:tcPr>
            <w:tcW w:type="dxa" w:w="9144"/>
            <w:tcBorders>
              <w:top w:val="nil"/>
              <w:left w:val="nil"/>
              <w:bottom w:val="nil"/>
              <w:right w:val="nil"/>
            </w:tcBorders>
            <w:tcBorders>
              <w:top w:val="nil" w:sz="5" w:color="1D1F20"/>
              <w:left w:val="nil" w:sz="5" w:color="1D1F20"/>
              <w:bottom w:val="single" w:sz="5" w:color="1D1F20"/>
              <w:right w:val="nil" w:sz="5" w:color="1D1F20"/>
            </w:tcBorders>
          </w:tcPr>
          <w:p>
            <w:pPr>
              <w:spacing w:after="0"/>
            </w:pPr>
            <w:r>
              <w:rPr>
                <w:rFonts w:ascii="Verdana" w:hAnsi="Verdana"/>
                <w:b w:val="0"/>
                <w:color w:val="1D1F20"/>
                <w:sz w:val="16"/>
                <w:u w:val="none"/>
              </w:rPr>
              <w:t>All unofficial foreign travel, itinerary deviations, unplanned Canada/Mexico day trips, emergency travel, aggregated travel.</w:t>
            </w:r>
          </w:p>
        </w:tc>
      </w:tr>
      <w:tr>
        <w:tc>
          <w:tcPr>
            <w:tcW w:type="dxa" w:w="1685"/>
            <w:tcBorders>
              <w:top w:val="nil"/>
              <w:left w:val="nil"/>
              <w:bottom w:val="nil"/>
              <w:right w:val="nil"/>
            </w:tcBorders>
            <w:tcBorders>
              <w:top w:val="nil" w:sz="5" w:color="1D1F20"/>
              <w:left w:val="nil" w:sz="5" w:color="1D1F20"/>
              <w:bottom w:val="single" w:sz="5" w:color="1D1F20"/>
              <w:right w:val="nil" w:sz="5" w:color="1D1F20"/>
            </w:tcBorders>
          </w:tcPr>
          <w:p>
            <w:pPr>
              <w:spacing w:after="0"/>
            </w:pPr>
            <w:r>
              <w:rPr>
                <w:rFonts w:ascii="Verdana" w:hAnsi="Verdana"/>
                <w:b/>
                <w:color w:val="2C455D"/>
                <w:sz w:val="15"/>
                <w:u w:val="none"/>
              </w:rPr>
              <w:t>Customer Service Report</w:t>
            </w:r>
          </w:p>
        </w:tc>
        <w:tc>
          <w:tcPr>
            <w:tcW w:type="dxa" w:w="9144"/>
            <w:tcBorders>
              <w:top w:val="nil"/>
              <w:left w:val="nil"/>
              <w:bottom w:val="nil"/>
              <w:right w:val="nil"/>
            </w:tcBorders>
            <w:tcBorders>
              <w:top w:val="nil" w:sz="5" w:color="1D1F20"/>
              <w:left w:val="nil" w:sz="5" w:color="1D1F20"/>
              <w:bottom w:val="single" w:sz="5" w:color="1D1F20"/>
              <w:right w:val="nil" w:sz="5" w:color="1D1F20"/>
            </w:tcBorders>
          </w:tcPr>
          <w:p>
            <w:pPr>
              <w:spacing w:after="0"/>
            </w:pPr>
            <w:r>
              <w:rPr>
                <w:rFonts w:ascii="Verdana" w:hAnsi="Verdana"/>
                <w:b w:val="0"/>
                <w:color w:val="1D1F20"/>
                <w:sz w:val="16"/>
                <w:u w:val="none"/>
              </w:rPr>
              <w:t>Contact with known/suspected foreign intelligence entity (also notify your CISA directly) · continuing foreign national association · exchange of personal information · association updates. TS only: marriage, cohabitants, foreign national roommate over 30 days, adoption of non-U.S.-citizen children.</w:t>
            </w:r>
          </w:p>
        </w:tc>
      </w:tr>
      <w:tr>
        <w:tc>
          <w:tcPr>
            <w:tcW w:type="dxa" w:w="1685"/>
            <w:tcBorders>
              <w:top w:val="nil"/>
              <w:left w:val="nil"/>
              <w:bottom w:val="nil"/>
              <w:right w:val="nil"/>
            </w:tcBorders>
            <w:tcBorders>
              <w:top w:val="nil" w:sz="5" w:color="1D1F20"/>
              <w:left w:val="nil" w:sz="5" w:color="1D1F20"/>
              <w:bottom w:val="single" w:sz="5" w:color="1D1F20"/>
              <w:right w:val="nil" w:sz="5" w:color="1D1F20"/>
            </w:tcBorders>
          </w:tcPr>
          <w:p>
            <w:pPr>
              <w:spacing w:after="0"/>
            </w:pPr>
            <w:r>
              <w:rPr>
                <w:rFonts w:ascii="Verdana" w:hAnsi="Verdana"/>
                <w:b/>
                <w:color w:val="2C455D"/>
                <w:sz w:val="15"/>
                <w:u w:val="none"/>
              </w:rPr>
              <w:t>Incident CSR</w:t>
            </w:r>
          </w:p>
        </w:tc>
        <w:tc>
          <w:tcPr>
            <w:tcW w:type="dxa" w:w="9144"/>
            <w:tcBorders>
              <w:top w:val="nil"/>
              <w:left w:val="nil"/>
              <w:bottom w:val="nil"/>
              <w:right w:val="nil"/>
            </w:tcBorders>
            <w:tcBorders>
              <w:top w:val="nil" w:sz="5" w:color="1D1F20"/>
              <w:left w:val="nil" w:sz="5" w:color="1D1F20"/>
              <w:bottom w:val="single" w:sz="5" w:color="1D1F20"/>
              <w:right w:val="nil" w:sz="5" w:color="1D1F20"/>
            </w:tcBorders>
          </w:tcPr>
          <w:p>
            <w:pPr>
              <w:spacing w:after="0"/>
            </w:pPr>
            <w:r>
              <w:rPr>
                <w:rFonts w:ascii="Verdana" w:hAnsi="Verdana"/>
                <w:b w:val="0"/>
                <w:color w:val="1D1F20"/>
                <w:sz w:val="16"/>
                <w:u w:val="none"/>
              </w:rPr>
              <w:t xml:space="preserve">Adverse information · peer reports under </w:t>
            </w:r>
            <w:hyperlink r:id="rId9">
              <w:r>
                <w:rPr>
                  <w:rFonts w:ascii="Verdana" w:hAnsi="Verdana"/>
                  <w:sz w:val="16"/>
                  <w:color w:val="416180"/>
                  <w:u w:val="single"/>
                </w:rPr>
                <w:t xml:space="preserve">SEAD 3</w:t>
              </w:r>
            </w:hyperlink>
            <w:r>
              <w:rPr>
                <w:rFonts w:ascii="Verdana" w:hAnsi="Verdana"/>
                <w:b w:val="0"/>
                <w:color w:val="1D1F20"/>
                <w:sz w:val="16"/>
                <w:u w:val="none"/>
              </w:rPr>
              <w:t xml:space="preserve"> F.3 · elicitation, blackmail, coercion · foreign citizenship · foreign passport or ID · media contact · arrests · bankruptcy or 120+ days delinquent · official foreign contact you deem a concern. TS only: foreign business, bank accounts, property, voting in a foreign election, financial anomalies including $10,000+ infusions.</w:t>
            </w:r>
          </w:p>
        </w:tc>
      </w:tr>
      <w:tr>
        <w:tc>
          <w:tcPr>
            <w:tcW w:type="dxa" w:w="1685"/>
            <w:tcBorders>
              <w:top w:val="nil"/>
              <w:left w:val="nil"/>
              <w:bottom w:val="nil"/>
              <w:right w:val="nil"/>
            </w:tcBorders>
            <w:shd w:fill="EEF6FF"/>
            <w:tcBorders>
              <w:top w:val="nil" w:sz="5" w:color="1D1F20"/>
              <w:left w:val="nil" w:sz="5" w:color="1D1F20"/>
              <w:bottom w:val="single" w:sz="5" w:color="1D1F20"/>
              <w:right w:val="nil" w:sz="5" w:color="1D1F20"/>
            </w:tcBorders>
          </w:tcPr>
          <w:p>
            <w:pPr>
              <w:spacing w:after="0"/>
            </w:pPr>
            <w:r>
              <w:rPr>
                <w:rFonts w:ascii="Verdana" w:hAnsi="Verdana"/>
                <w:b/>
                <w:color w:val="2C455D"/>
                <w:sz w:val="15"/>
                <w:u w:val="none"/>
              </w:rPr>
              <w:t>Cryptocurrency</w:t>
            </w:r>
          </w:p>
          <w:p>
            <w:pPr>
              <w:spacing w:before="20"/>
            </w:pPr>
            <w:r>
              <w:rPr>
                <w:rFonts w:ascii="Verdana" w:hAnsi="Verdana"/>
                <w:b/>
                <w:color w:val="416180"/>
                <w:sz w:val="11"/>
              </w:rPr>
              <w:t xml:space="preserve"> ISL </w:t>
            </w:r>
          </w:p>
        </w:tc>
        <w:tc>
          <w:tcPr>
            <w:tcW w:type="dxa" w:w="9144"/>
            <w:tcBorders>
              <w:top w:val="nil"/>
              <w:left w:val="nil"/>
              <w:bottom w:val="nil"/>
              <w:right w:val="nil"/>
            </w:tcBorders>
            <w:shd w:fill="EEF6FF"/>
            <w:tcBorders>
              <w:top w:val="nil" w:sz="5" w:color="1D1F20"/>
              <w:left w:val="nil" w:sz="5" w:color="1D1F20"/>
              <w:bottom w:val="single" w:sz="5" w:color="1D1F20"/>
              <w:right w:val="nil" w:sz="5" w:color="1D1F20"/>
            </w:tcBorders>
          </w:tcPr>
          <w:p>
            <w:pPr>
              <w:spacing w:after="0"/>
            </w:pPr>
            <w:r>
              <w:rPr>
                <w:rFonts w:ascii="Verdana" w:hAnsi="Verdana"/>
                <w:b w:val="0"/>
                <w:color w:val="1D1F20"/>
                <w:sz w:val="16"/>
                <w:u w:val="none"/>
              </w:rPr>
              <w:t>Foreign state-backed, hosted, or managed crypto, or a wallet on a foreign exchange. Incident CSR. Data: name, exchange host country, dollar value.</w:t>
            </w:r>
          </w:p>
        </w:tc>
      </w:tr>
      <w:tr>
        <w:tc>
          <w:tcPr>
            <w:tcW w:type="dxa" w:w="1685"/>
            <w:tcBorders>
              <w:top w:val="nil"/>
              <w:left w:val="nil"/>
              <w:bottom w:val="nil"/>
              <w:right w:val="nil"/>
            </w:tcBorders>
            <w:shd w:fill="EEF6FF"/>
            <w:tcBorders>
              <w:top w:val="nil" w:sz="5" w:color="1D1F20"/>
              <w:left w:val="nil" w:sz="5" w:color="1D1F20"/>
              <w:bottom w:val="single" w:sz="5" w:color="1D1F20"/>
              <w:right w:val="nil" w:sz="5" w:color="1D1F20"/>
            </w:tcBorders>
          </w:tcPr>
          <w:p>
            <w:pPr>
              <w:spacing w:after="0"/>
            </w:pPr>
            <w:r>
              <w:rPr>
                <w:rFonts w:ascii="Verdana" w:hAnsi="Verdana"/>
                <w:b/>
                <w:color w:val="2C455D"/>
                <w:sz w:val="15"/>
                <w:u w:val="none"/>
              </w:rPr>
              <w:t>Psychological health</w:t>
            </w:r>
          </w:p>
          <w:p>
            <w:pPr>
              <w:spacing w:before="20"/>
            </w:pPr>
            <w:r>
              <w:rPr>
                <w:rFonts w:ascii="Verdana" w:hAnsi="Verdana"/>
                <w:b/>
                <w:color w:val="416180"/>
                <w:sz w:val="11"/>
              </w:rPr>
              <w:t xml:space="preserve"> ISL </w:t>
            </w:r>
          </w:p>
        </w:tc>
        <w:tc>
          <w:tcPr>
            <w:tcW w:type="dxa" w:w="9144"/>
            <w:tcBorders>
              <w:top w:val="nil"/>
              <w:left w:val="nil"/>
              <w:bottom w:val="nil"/>
              <w:right w:val="nil"/>
            </w:tcBorders>
            <w:shd w:fill="EEF6FF"/>
            <w:tcBorders>
              <w:top w:val="nil" w:sz="5" w:color="1D1F20"/>
              <w:left w:val="nil" w:sz="5" w:color="1D1F20"/>
              <w:bottom w:val="single" w:sz="5" w:color="1D1F20"/>
              <w:right w:val="nil" w:sz="5" w:color="1D1F20"/>
            </w:tcBorders>
          </w:tcPr>
          <w:p>
            <w:pPr>
              <w:spacing w:after="0"/>
            </w:pPr>
            <w:r>
              <w:rPr>
                <w:rFonts w:ascii="Verdana" w:hAnsi="Verdana"/>
                <w:b w:val="0"/>
                <w:color w:val="1D1F20"/>
                <w:sz w:val="16"/>
                <w:u w:val="none"/>
              </w:rPr>
              <w:t>Six SF-86 Section 21 triggers only: incompetency ruling, court-ordered consult, hospitalization, listed diagnoses, unsupervised treatment change in 7 years, self-assessed impairment. Incident CSR.</w:t>
            </w:r>
          </w:p>
        </w:tc>
      </w:tr>
      <w:tr>
        <w:tc>
          <w:tcPr>
            <w:tcW w:type="dxa" w:w="1685"/>
            <w:tcBorders>
              <w:top w:val="nil"/>
              <w:left w:val="nil"/>
              <w:bottom w:val="nil"/>
              <w:right w:val="nil"/>
            </w:tcBorders>
            <w:tcBorders>
              <w:top w:val="nil" w:sz="5" w:color="1D1F20"/>
              <w:left w:val="nil" w:sz="5" w:color="1D1F20"/>
              <w:bottom w:val="single" w:sz="5" w:color="1D1F20"/>
              <w:right w:val="nil" w:sz="5" w:color="1D1F20"/>
            </w:tcBorders>
          </w:tcPr>
          <w:p>
            <w:pPr>
              <w:spacing w:after="0"/>
            </w:pPr>
            <w:r>
              <w:rPr>
                <w:rFonts w:ascii="Verdana" w:hAnsi="Verdana"/>
                <w:b/>
                <w:color w:val="2C455D"/>
                <w:sz w:val="15"/>
                <w:u w:val="none"/>
              </w:rPr>
              <w:t>Data elements</w:t>
            </w:r>
          </w:p>
        </w:tc>
        <w:tc>
          <w:tcPr>
            <w:tcW w:type="dxa" w:w="9144"/>
            <w:tcBorders>
              <w:top w:val="nil"/>
              <w:left w:val="nil"/>
              <w:bottom w:val="nil"/>
              <w:right w:val="nil"/>
            </w:tcBorders>
            <w:tcBorders>
              <w:top w:val="nil" w:sz="5" w:color="1D1F20"/>
              <w:left w:val="nil" w:sz="5" w:color="1D1F20"/>
              <w:bottom w:val="single" w:sz="5" w:color="1D1F20"/>
              <w:right w:val="nil" w:sz="5" w:color="1D1F20"/>
            </w:tcBorders>
          </w:tcPr>
          <w:p>
            <w:pPr>
              <w:spacing w:after="0"/>
            </w:pPr>
            <w:hyperlink r:id="rId9">
              <w:r>
                <w:rPr>
                  <w:rFonts w:ascii="Verdana" w:hAnsi="Verdana"/>
                  <w:sz w:val="16"/>
                  <w:color w:val="416180"/>
                  <w:u w:val="single"/>
                </w:rPr>
                <w:t xml:space="preserve">SEAD 3 Appendix A</w:t>
              </w:r>
            </w:hyperlink>
            <w:r>
              <w:rPr>
                <w:rFonts w:ascii="Verdana" w:hAnsi="Verdana"/>
                <w:b w:val="0"/>
                <w:color w:val="1D1F20"/>
                <w:sz w:val="16"/>
                <w:u w:val="none"/>
              </w:rPr>
              <w:t>. Anything already submitted on an SF-86 or in DISS does not get resubmitted.</w:t>
            </w:r>
          </w:p>
        </w:tc>
      </w:tr>
    </w:tbl>
    <w:p>
      <w:pPr>
        <w:spacing w:after="0"/>
      </w:pPr>
    </w:p>
    <w:p>
      <w:pPr>
        <w:spacing w:before="120" w:after="20"/>
      </w:pPr>
      <w:r>
        <w:rPr>
          <w:rFonts w:ascii="Verdana" w:hAnsi="Verdana"/>
          <w:b/>
          <w:color w:val="416180"/>
          <w:sz w:val="22"/>
          <w:u w:val="none"/>
        </w:rPr>
        <w:t xml:space="preserve">03  </w:t>
      </w:r>
      <w:r>
        <w:rPr>
          <w:rFonts w:ascii="Verdana" w:hAnsi="Verdana"/>
          <w:b/>
          <w:color w:val="1D1F20"/>
          <w:sz w:val="22"/>
          <w:u w:val="none"/>
        </w:rPr>
        <w:t>FOREIGN TRAVEL IS DEEMED APPROVED WHEN ALL FOUR OCCUR</w:t>
      </w:r>
    </w:p>
    <w:p>
      <w:pPr>
        <w:spacing w:after="60"/>
        <w:pBdr>
          <w:bottom w:val="single" w:sz="18" w:space="1" w:color="1D1F20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760"/>
        <w:gridCol w:w="5760"/>
      </w:tblGrid>
      <w:tr>
        <w:tc>
          <w:tcPr>
            <w:tcW w:type="dxa" w:w="1685"/>
            <w:tcBorders>
              <w:top w:val="nil"/>
              <w:left w:val="nil"/>
              <w:bottom w:val="nil"/>
              <w:right w:val="nil"/>
            </w:tcBorders>
            <w:tcBorders>
              <w:top w:val="nil" w:sz="5" w:color="1D1F20"/>
              <w:left w:val="nil" w:sz="5" w:color="1D1F20"/>
              <w:bottom w:val="single" w:sz="5" w:color="1D1F20"/>
              <w:right w:val="nil" w:sz="5" w:color="1D1F20"/>
            </w:tcBorders>
          </w:tcPr>
          <w:p>
            <w:pPr>
              <w:spacing w:after="0"/>
            </w:pPr>
            <w:r>
              <w:rPr>
                <w:rFonts w:ascii="Verdana" w:hAnsi="Verdana"/>
                <w:b/>
                <w:color w:val="2C455D"/>
                <w:sz w:val="15"/>
                <w:u w:val="none"/>
              </w:rPr>
              <w:t>The sequence</w:t>
            </w:r>
          </w:p>
        </w:tc>
        <w:tc>
          <w:tcPr>
            <w:tcW w:type="dxa" w:w="9144"/>
            <w:tcBorders>
              <w:top w:val="nil"/>
              <w:left w:val="nil"/>
              <w:bottom w:val="nil"/>
              <w:right w:val="nil"/>
            </w:tcBorders>
            <w:tcBorders>
              <w:top w:val="nil" w:sz="5" w:color="1D1F20"/>
              <w:left w:val="nil" w:sz="5" w:color="1D1F20"/>
              <w:bottom w:val="single" w:sz="5" w:color="1D1F20"/>
              <w:right w:val="nil" w:sz="5" w:color="1D1F20"/>
            </w:tcBorders>
          </w:tcPr>
          <w:p>
            <w:pPr>
              <w:spacing w:after="0"/>
            </w:pPr>
            <w:r>
              <w:rPr>
                <w:rFonts w:ascii="Verdana" w:hAnsi="Verdana"/>
                <w:b w:val="0"/>
                <w:color w:val="1D1F20"/>
                <w:sz w:val="16"/>
                <w:u w:val="none"/>
              </w:rPr>
              <w:t>(1) Individual notifies you before travel, or ASAP after, not to exceed 5 business days · (2) complete itinerary submitted and you report it before departure · (3) you provide the NCSC “Safe Travels” resource for required review · (4) you coordinate with your CISA for a pre-travel briefing when the destination is on the DNI Worldwide Threat Assessment.</w:t>
            </w:r>
          </w:p>
        </w:tc>
      </w:tr>
      <w:tr>
        <w:tc>
          <w:tcPr>
            <w:tcW w:type="dxa" w:w="1685"/>
            <w:tcBorders>
              <w:top w:val="nil"/>
              <w:left w:val="nil"/>
              <w:bottom w:val="nil"/>
              <w:right w:val="nil"/>
            </w:tcBorders>
            <w:tcBorders>
              <w:top w:val="nil" w:sz="5" w:color="1D1F20"/>
              <w:left w:val="nil" w:sz="5" w:color="1D1F20"/>
              <w:bottom w:val="single" w:sz="5" w:color="1D1F20"/>
              <w:right w:val="nil" w:sz="5" w:color="1D1F20"/>
            </w:tcBorders>
          </w:tcPr>
          <w:p>
            <w:pPr>
              <w:spacing w:after="0"/>
            </w:pPr>
            <w:r>
              <w:rPr>
                <w:rFonts w:ascii="Verdana" w:hAnsi="Verdana"/>
                <w:b/>
                <w:color w:val="2C455D"/>
                <w:sz w:val="15"/>
                <w:u w:val="none"/>
              </w:rPr>
              <w:t>Also on you</w:t>
            </w:r>
          </w:p>
        </w:tc>
        <w:tc>
          <w:tcPr>
            <w:tcW w:type="dxa" w:w="9144"/>
            <w:tcBorders>
              <w:top w:val="nil"/>
              <w:left w:val="nil"/>
              <w:bottom w:val="nil"/>
              <w:right w:val="nil"/>
            </w:tcBorders>
            <w:tcBorders>
              <w:top w:val="nil" w:sz="5" w:color="1D1F20"/>
              <w:left w:val="nil" w:sz="5" w:color="1D1F20"/>
              <w:bottom w:val="single" w:sz="5" w:color="1D1F20"/>
              <w:right w:val="nil" w:sz="5" w:color="1D1F20"/>
            </w:tcBorders>
          </w:tcPr>
          <w:p>
            <w:pPr>
              <w:spacing w:after="0"/>
            </w:pPr>
            <w:r>
              <w:rPr>
                <w:rFonts w:ascii="Verdana" w:hAnsi="Verdana"/>
                <w:b w:val="0"/>
                <w:color w:val="1D1F20"/>
                <w:sz w:val="16"/>
                <w:u w:val="none"/>
              </w:rPr>
              <w:t xml:space="preserve">Provide </w:t>
            </w:r>
            <w:hyperlink r:id="rId10">
              <w:r>
                <w:rPr>
                  <w:rFonts w:ascii="Verdana" w:hAnsi="Verdana"/>
                  <w:sz w:val="16"/>
                  <w:color w:val="416180"/>
                  <w:u w:val="single"/>
                </w:rPr>
                <w:t xml:space="preserve">State Department advisory</w:t>
              </w:r>
            </w:hyperlink>
            <w:r>
              <w:rPr>
                <w:rFonts w:ascii="Verdana" w:hAnsi="Verdana"/>
                <w:b w:val="0"/>
                <w:color w:val="1D1F20"/>
                <w:sz w:val="16"/>
                <w:u w:val="none"/>
              </w:rPr>
              <w:t xml:space="preserve"> information for listed countries · coordinate a CISA post-travel debrief on any foreign intelligence contact or anomaly · aggregated reporting window must not exceed 120 days (refer traveler to Safe Travels at least annually) · report travel by anyone out-processing immediately.</w:t>
            </w:r>
          </w:p>
        </w:tc>
      </w:tr>
      <w:tr>
        <w:tc>
          <w:tcPr>
            <w:tcW w:type="dxa" w:w="1685"/>
            <w:tcBorders>
              <w:top w:val="nil"/>
              <w:left w:val="nil"/>
              <w:bottom w:val="nil"/>
              <w:right w:val="nil"/>
            </w:tcBorders>
            <w:tcBorders>
              <w:top w:val="nil" w:sz="5" w:color="1D1F20"/>
              <w:left w:val="nil" w:sz="5" w:color="1D1F20"/>
              <w:bottom w:val="single" w:sz="5" w:color="1D1F20"/>
              <w:right w:val="nil" w:sz="5" w:color="1D1F20"/>
            </w:tcBorders>
          </w:tcPr>
          <w:p>
            <w:pPr>
              <w:spacing w:after="0"/>
            </w:pPr>
            <w:r>
              <w:rPr>
                <w:rFonts w:ascii="Verdana" w:hAnsi="Verdana"/>
                <w:b/>
                <w:color w:val="2C455D"/>
                <w:sz w:val="15"/>
                <w:u w:val="none"/>
              </w:rPr>
              <w:t>Not reportable</w:t>
            </w:r>
          </w:p>
        </w:tc>
        <w:tc>
          <w:tcPr>
            <w:tcW w:type="dxa" w:w="9144"/>
            <w:tcBorders>
              <w:top w:val="nil"/>
              <w:left w:val="nil"/>
              <w:bottom w:val="nil"/>
              <w:right w:val="nil"/>
            </w:tcBorders>
            <w:tcBorders>
              <w:top w:val="nil" w:sz="5" w:color="1D1F20"/>
              <w:left w:val="nil" w:sz="5" w:color="1D1F20"/>
              <w:bottom w:val="single" w:sz="5" w:color="1D1F20"/>
              <w:right w:val="nil" w:sz="5" w:color="1D1F20"/>
            </w:tcBorders>
          </w:tcPr>
          <w:p>
            <w:pPr>
              <w:spacing w:after="0"/>
            </w:pPr>
            <w:r>
              <w:rPr>
                <w:rFonts w:ascii="Verdana" w:hAnsi="Verdana"/>
                <w:b w:val="0"/>
                <w:color w:val="1D1F20"/>
                <w:sz w:val="16"/>
                <w:u w:val="none"/>
              </w:rPr>
              <w:t>Official travel in direct support of a U.S. Government contract · Puerto Rico, Guam, the U.S. Virgin Islands, American Samoa, and the Northern Mariana Islands.</w:t>
            </w:r>
          </w:p>
        </w:tc>
      </w:tr>
    </w:tbl>
    <w:p>
      <w:pPr>
        <w:spacing w:after="0"/>
      </w:pPr>
    </w:p>
    <w:p>
      <w:pPr>
        <w:spacing w:before="120" w:after="20"/>
      </w:pPr>
      <w:r>
        <w:rPr>
          <w:rFonts w:ascii="Verdana" w:hAnsi="Verdana"/>
          <w:b/>
          <w:color w:val="416180"/>
          <w:sz w:val="22"/>
          <w:u w:val="none"/>
        </w:rPr>
        <w:t xml:space="preserve">04  </w:t>
      </w:r>
      <w:r>
        <w:rPr>
          <w:rFonts w:ascii="Verdana" w:hAnsi="Verdana"/>
          <w:b/>
          <w:color w:val="1D1F20"/>
          <w:sz w:val="22"/>
          <w:u w:val="none"/>
        </w:rPr>
        <w:t>TRAPS THAT GENERATE FINDINGS</w:t>
      </w:r>
    </w:p>
    <w:p>
      <w:pPr>
        <w:spacing w:after="60"/>
        <w:pBdr>
          <w:bottom w:val="single" w:sz="18" w:space="1" w:color="1D1F20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760"/>
        <w:gridCol w:w="5760"/>
      </w:tblGrid>
      <w:tr>
        <w:tc>
          <w:tcPr>
            <w:tcW w:type="dxa" w:w="1685"/>
            <w:tcBorders>
              <w:top w:val="nil"/>
              <w:left w:val="nil"/>
              <w:bottom w:val="nil"/>
              <w:right w:val="nil"/>
            </w:tcBorders>
            <w:tcBorders>
              <w:top w:val="nil" w:sz="5" w:color="1D1F20"/>
              <w:left w:val="nil" w:sz="5" w:color="1D1F20"/>
              <w:bottom w:val="single" w:sz="5" w:color="1D1F20"/>
              <w:right w:val="nil" w:sz="5" w:color="1D1F20"/>
            </w:tcBorders>
          </w:tcPr>
          <w:p>
            <w:pPr>
              <w:spacing w:after="0"/>
            </w:pPr>
            <w:r>
              <w:rPr>
                <w:rFonts w:ascii="Verdana" w:hAnsi="Verdana"/>
                <w:b/>
                <w:color w:val="2C455D"/>
                <w:sz w:val="15"/>
                <w:u w:val="none"/>
              </w:rPr>
              <w:t>Out-processing</w:t>
            </w:r>
          </w:p>
        </w:tc>
        <w:tc>
          <w:tcPr>
            <w:tcW w:type="dxa" w:w="9144"/>
            <w:tcBorders>
              <w:top w:val="nil"/>
              <w:left w:val="nil"/>
              <w:bottom w:val="nil"/>
              <w:right w:val="nil"/>
            </w:tcBorders>
            <w:tcBorders>
              <w:top w:val="nil" w:sz="5" w:color="1D1F20"/>
              <w:left w:val="nil" w:sz="5" w:color="1D1F20"/>
              <w:bottom w:val="single" w:sz="5" w:color="1D1F20"/>
              <w:right w:val="nil" w:sz="5" w:color="1D1F20"/>
            </w:tcBorders>
          </w:tcPr>
          <w:p>
            <w:pPr>
              <w:spacing w:after="0"/>
            </w:pPr>
            <w:r>
              <w:rPr>
                <w:rFonts w:ascii="Verdana" w:hAnsi="Verdana"/>
                <w:b w:val="0"/>
                <w:color w:val="1D1F20"/>
                <w:sz w:val="16"/>
                <w:u w:val="none"/>
              </w:rPr>
              <w:t>Submit all known reportable information before removing a subject from your DISS SMO. If you miss it: re-establish affiliation, report, out-process again, or contact AVS. Information arising after out-processing carries no obligation.</w:t>
            </w:r>
          </w:p>
        </w:tc>
      </w:tr>
      <w:tr>
        <w:tc>
          <w:tcPr>
            <w:tcW w:type="dxa" w:w="1685"/>
            <w:tcBorders>
              <w:top w:val="nil"/>
              <w:left w:val="nil"/>
              <w:bottom w:val="nil"/>
              <w:right w:val="nil"/>
            </w:tcBorders>
            <w:tcBorders>
              <w:top w:val="nil" w:sz="5" w:color="1D1F20"/>
              <w:left w:val="nil" w:sz="5" w:color="1D1F20"/>
              <w:bottom w:val="single" w:sz="5" w:color="1D1F20"/>
              <w:right w:val="nil" w:sz="5" w:color="1D1F20"/>
            </w:tcBorders>
          </w:tcPr>
          <w:p>
            <w:pPr>
              <w:spacing w:after="0"/>
            </w:pPr>
            <w:r>
              <w:rPr>
                <w:rFonts w:ascii="Verdana" w:hAnsi="Verdana"/>
                <w:b/>
                <w:color w:val="2C455D"/>
                <w:sz w:val="15"/>
                <w:u w:val="none"/>
              </w:rPr>
              <w:t>5-year PVQ</w:t>
            </w:r>
          </w:p>
        </w:tc>
        <w:tc>
          <w:tcPr>
            <w:tcW w:type="dxa" w:w="9144"/>
            <w:tcBorders>
              <w:top w:val="nil"/>
              <w:left w:val="nil"/>
              <w:bottom w:val="nil"/>
              <w:right w:val="nil"/>
            </w:tcBorders>
            <w:tcBorders>
              <w:top w:val="nil" w:sz="5" w:color="1D1F20"/>
              <w:left w:val="nil" w:sz="5" w:color="1D1F20"/>
              <w:bottom w:val="single" w:sz="5" w:color="1D1F20"/>
              <w:right w:val="nil" w:sz="5" w:color="1D1F20"/>
            </w:tcBorders>
          </w:tcPr>
          <w:p>
            <w:pPr>
              <w:spacing w:after="0"/>
            </w:pPr>
            <w:r>
              <w:rPr>
                <w:rFonts w:ascii="Verdana" w:hAnsi="Verdana"/>
                <w:b w:val="0"/>
                <w:color w:val="1D1F20"/>
                <w:sz w:val="16"/>
                <w:u w:val="none"/>
              </w:rPr>
              <w:t>Periodic reinvestigations are gone. Everyone is enrolled in Continuous Vetting (CV), and everyone submits a new PVQ/SF-86 every 5 years regardless of level. Track by PVQ Date via the DISS Subject Report, submit to PSMO-I.</w:t>
            </w:r>
          </w:p>
        </w:tc>
      </w:tr>
      <w:tr>
        <w:tc>
          <w:tcPr>
            <w:tcW w:type="dxa" w:w="1685"/>
            <w:tcBorders>
              <w:top w:val="nil"/>
              <w:left w:val="nil"/>
              <w:bottom w:val="nil"/>
              <w:right w:val="nil"/>
            </w:tcBorders>
            <w:tcBorders>
              <w:top w:val="nil" w:sz="5" w:color="1D1F20"/>
              <w:left w:val="nil" w:sz="5" w:color="1D1F20"/>
              <w:bottom w:val="single" w:sz="5" w:color="1D1F20"/>
              <w:right w:val="nil" w:sz="5" w:color="1D1F20"/>
            </w:tcBorders>
          </w:tcPr>
          <w:p>
            <w:pPr>
              <w:spacing w:after="0"/>
            </w:pPr>
            <w:r>
              <w:rPr>
                <w:rFonts w:ascii="Verdana" w:hAnsi="Verdana"/>
                <w:b/>
                <w:color w:val="2C455D"/>
                <w:sz w:val="15"/>
                <w:u w:val="none"/>
              </w:rPr>
              <w:t>Adverse info is separate</w:t>
            </w:r>
          </w:p>
        </w:tc>
        <w:tc>
          <w:tcPr>
            <w:tcW w:type="dxa" w:w="9144"/>
            <w:tcBorders>
              <w:top w:val="nil"/>
              <w:left w:val="nil"/>
              <w:bottom w:val="nil"/>
              <w:right w:val="nil"/>
            </w:tcBorders>
            <w:tcBorders>
              <w:top w:val="nil" w:sz="5" w:color="1D1F20"/>
              <w:left w:val="nil" w:sz="5" w:color="1D1F20"/>
              <w:bottom w:val="single" w:sz="5" w:color="1D1F20"/>
              <w:right w:val="nil" w:sz="5" w:color="1D1F20"/>
            </w:tcBorders>
          </w:tcPr>
          <w:p>
            <w:pPr>
              <w:spacing w:after="0"/>
            </w:pPr>
            <w:r>
              <w:rPr>
                <w:rFonts w:ascii="Verdana" w:hAnsi="Verdana"/>
                <w:b w:val="0"/>
                <w:color w:val="1D1F20"/>
                <w:sz w:val="16"/>
                <w:u w:val="none"/>
              </w:rPr>
              <w:t xml:space="preserve">Not the same duty as </w:t>
            </w:r>
            <w:hyperlink r:id="rId9">
              <w:r>
                <w:rPr>
                  <w:rFonts w:ascii="Verdana" w:hAnsi="Verdana"/>
                  <w:sz w:val="16"/>
                  <w:color w:val="416180"/>
                  <w:u w:val="single"/>
                </w:rPr>
                <w:t xml:space="preserve">SEAD 3</w:t>
              </w:r>
            </w:hyperlink>
            <w:r>
              <w:rPr>
                <w:rFonts w:ascii="Verdana" w:hAnsi="Verdana"/>
                <w:b w:val="0"/>
                <w:color w:val="1D1F20"/>
                <w:sz w:val="16"/>
                <w:u w:val="none"/>
              </w:rPr>
              <w:t xml:space="preserve">. Base it on the 13 </w:t>
            </w:r>
            <w:hyperlink r:id="rId11">
              <w:r>
                <w:rPr>
                  <w:rFonts w:ascii="Verdana" w:hAnsi="Verdana"/>
                  <w:sz w:val="16"/>
                  <w:color w:val="416180"/>
                  <w:u w:val="single"/>
                </w:rPr>
                <w:t xml:space="preserve">SEAD 4</w:t>
              </w:r>
            </w:hyperlink>
            <w:r>
              <w:rPr>
                <w:rFonts w:ascii="Verdana" w:hAnsi="Verdana"/>
                <w:b w:val="0"/>
                <w:color w:val="1D1F20"/>
                <w:sz w:val="16"/>
                <w:u w:val="none"/>
              </w:rPr>
              <w:t xml:space="preserve"> adjudicative guidelines. No rumor or innuendo. Termination of employment does not negate the requirement.</w:t>
            </w:r>
          </w:p>
        </w:tc>
      </w:tr>
      <w:tr>
        <w:tc>
          <w:tcPr>
            <w:tcW w:type="dxa" w:w="1685"/>
            <w:tcBorders>
              <w:top w:val="nil"/>
              <w:left w:val="nil"/>
              <w:bottom w:val="nil"/>
              <w:right w:val="nil"/>
            </w:tcBorders>
            <w:tcBorders>
              <w:top w:val="nil" w:sz="5" w:color="1D1F20"/>
              <w:left w:val="nil" w:sz="5" w:color="1D1F20"/>
              <w:bottom w:val="single" w:sz="5" w:color="1D1F20"/>
              <w:right w:val="nil" w:sz="5" w:color="1D1F20"/>
            </w:tcBorders>
          </w:tcPr>
          <w:p>
            <w:pPr>
              <w:spacing w:after="0"/>
            </w:pPr>
            <w:r>
              <w:rPr>
                <w:rFonts w:ascii="Verdana" w:hAnsi="Verdana"/>
                <w:b/>
                <w:color w:val="2C455D"/>
                <w:sz w:val="15"/>
                <w:u w:val="none"/>
              </w:rPr>
              <w:t>Top review findings</w:t>
            </w:r>
          </w:p>
        </w:tc>
        <w:tc>
          <w:tcPr>
            <w:tcW w:type="dxa" w:w="9144"/>
            <w:tcBorders>
              <w:top w:val="nil"/>
              <w:left w:val="nil"/>
              <w:bottom w:val="nil"/>
              <w:right w:val="nil"/>
            </w:tcBorders>
            <w:tcBorders>
              <w:top w:val="nil" w:sz="5" w:color="1D1F20"/>
              <w:left w:val="nil" w:sz="5" w:color="1D1F20"/>
              <w:bottom w:val="single" w:sz="5" w:color="1D1F20"/>
              <w:right w:val="nil" w:sz="5" w:color="1D1F20"/>
            </w:tcBorders>
          </w:tcPr>
          <w:p>
            <w:pPr>
              <w:spacing w:after="0"/>
            </w:pPr>
            <w:r>
              <w:rPr>
                <w:rFonts w:ascii="Verdana" w:hAnsi="Verdana"/>
                <w:b w:val="0"/>
                <w:color w:val="1D1F20"/>
                <w:sz w:val="16"/>
                <w:u w:val="none"/>
              </w:rPr>
              <w:t>Failure to report adverse information · ignoring foreign nexus reporting (travel and foreign national contact). DCSA standard: when in doubt, report, and document your reasoning.</w:t>
            </w:r>
          </w:p>
        </w:tc>
      </w:tr>
    </w:tbl>
    <w:p>
      <w:pPr>
        <w:spacing w:after="0"/>
      </w:pPr>
    </w:p>
    <w:p>
      <w:pPr>
        <w:spacing w:after="40"/>
      </w:pPr>
      <w:r>
        <w:rPr>
          <w:rFonts w:ascii="Verdana" w:hAnsi="Verdana"/>
          <w:b w:val="0"/>
          <w:color w:val="5D5D60"/>
          <w:sz w:val="13"/>
          <w:u w:val="none"/>
        </w:rPr>
        <w:t xml:space="preserve">ISL  Sourced from </w:t>
      </w:r>
      <w:hyperlink r:id="rId12">
        <w:r>
          <w:rPr>
            <w:rFonts w:ascii="Verdana" w:hAnsi="Verdana"/>
            <w:sz w:val="13"/>
            <w:color w:val="416180"/>
            <w:u w:val="single"/>
          </w:rPr>
          <w:t xml:space="preserve">ISL 2021-02</w:t>
        </w:r>
      </w:hyperlink>
      <w:r>
        <w:rPr>
          <w:rFonts w:ascii="Verdana" w:hAnsi="Verdana"/>
          <w:b w:val="0"/>
          <w:color w:val="5D5D60"/>
          <w:sz w:val="13"/>
          <w:u w:val="none"/>
        </w:rPr>
        <w:t xml:space="preserve">, not </w:t>
      </w:r>
      <w:hyperlink r:id="rId9">
        <w:r>
          <w:rPr>
            <w:rFonts w:ascii="Verdana" w:hAnsi="Verdana"/>
            <w:sz w:val="13"/>
            <w:color w:val="416180"/>
            <w:u w:val="single"/>
          </w:rPr>
          <w:t xml:space="preserve">SEAD 3</w:t>
        </w:r>
      </w:hyperlink>
      <w:r>
        <w:rPr>
          <w:rFonts w:ascii="Verdana" w:hAnsi="Verdana"/>
          <w:b w:val="0"/>
          <w:color w:val="5D5D60"/>
          <w:sz w:val="13"/>
          <w:u w:val="none"/>
        </w:rPr>
        <w:t>. ISLs bind only entities under DoD cognizance, so these two are industry-only requirements.</w:t>
      </w:r>
    </w:p>
    <w:p>
      <w:pPr>
        <w:spacing w:after="40"/>
      </w:pPr>
      <w:r>
        <w:rPr>
          <w:rFonts w:ascii="Verdana" w:hAnsi="Verdana"/>
          <w:b w:val="0"/>
          <w:color w:val="5D5D60"/>
          <w:sz w:val="13"/>
          <w:u w:val="none"/>
        </w:rPr>
        <w:t xml:space="preserve">Sources: </w:t>
      </w:r>
      <w:hyperlink r:id="rId9">
        <w:r>
          <w:rPr>
            <w:rFonts w:ascii="Verdana" w:hAnsi="Verdana"/>
            <w:sz w:val="13"/>
            <w:color w:val="416180"/>
            <w:u w:val="single"/>
          </w:rPr>
          <w:t xml:space="preserve">SEAD 3</w:t>
        </w:r>
      </w:hyperlink>
      <w:r>
        <w:rPr>
          <w:rFonts w:ascii="Verdana" w:hAnsi="Verdana"/>
          <w:b w:val="0"/>
          <w:color w:val="5D5D60"/>
          <w:sz w:val="13"/>
          <w:u w:val="none"/>
        </w:rPr>
        <w:t xml:space="preserve"> · </w:t>
      </w:r>
      <w:hyperlink r:id="rId12">
        <w:r>
          <w:rPr>
            <w:rFonts w:ascii="Verdana" w:hAnsi="Verdana"/>
            <w:sz w:val="13"/>
            <w:color w:val="416180"/>
            <w:u w:val="single"/>
          </w:rPr>
          <w:t xml:space="preserve">ISL 2021-02</w:t>
        </w:r>
      </w:hyperlink>
      <w:r>
        <w:rPr>
          <w:rFonts w:ascii="Verdana" w:hAnsi="Verdana"/>
          <w:b w:val="0"/>
          <w:color w:val="5D5D60"/>
          <w:sz w:val="13"/>
          <w:u w:val="none"/>
        </w:rPr>
        <w:t xml:space="preserve"> · </w:t>
      </w:r>
      <w:hyperlink r:id="rId13">
        <w:r>
          <w:rPr>
            <w:rFonts w:ascii="Verdana" w:hAnsi="Verdana"/>
            <w:sz w:val="13"/>
            <w:color w:val="416180"/>
            <w:u w:val="single"/>
          </w:rPr>
          <w:t xml:space="preserve">32 CFR Part 117</w:t>
        </w:r>
      </w:hyperlink>
      <w:r>
        <w:rPr>
          <w:rFonts w:ascii="Verdana" w:hAnsi="Verdana"/>
          <w:b w:val="0"/>
          <w:color w:val="5D5D60"/>
          <w:sz w:val="13"/>
          <w:u w:val="none"/>
        </w:rPr>
        <w:t>. Covers individual reporting only; entity obligations under 117.8(b) to (g) are not included. Summarizes published policy and does not supersede it. Current as of September 2026.</w:t>
      </w:r>
    </w:p>
    <w:sectPr w:rsidR="00FC693F" w:rsidRPr="0006063C" w:rsidSect="00034616"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Verdana" w:hAnsi="Verdana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rchive.dni.gov/files/NCSC/documents/Regulations/SEAD-3-Reporting-U.pdf" TargetMode="External"/><Relationship Id="rId10" Type="http://schemas.openxmlformats.org/officeDocument/2006/relationships/hyperlink" Target="https://travel.state.gov/content/travel/en/traveladvisories/traveladvisories.html" TargetMode="External"/><Relationship Id="rId11" Type="http://schemas.openxmlformats.org/officeDocument/2006/relationships/hyperlink" Target="https://archive.dni.gov/files/NCSC/documents/Regulations/SEAD-4-Adjudicative-Guidelines-U.pdf" TargetMode="External"/><Relationship Id="rId12" Type="http://schemas.openxmlformats.org/officeDocument/2006/relationships/hyperlink" Target="https://www.dcsa.mil/Portals/91/Documents/CTP/tools/ISL2021-02_SEAD-3.pdf" TargetMode="External"/><Relationship Id="rId13" Type="http://schemas.openxmlformats.org/officeDocument/2006/relationships/hyperlink" Target="https://www.ecfr.gov/current/title-32/part-1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